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81" w:type="dxa"/>
        <w:tblLook w:val="04A0" w:firstRow="1" w:lastRow="0" w:firstColumn="1" w:lastColumn="0" w:noHBand="0" w:noVBand="1"/>
      </w:tblPr>
      <w:tblGrid>
        <w:gridCol w:w="1137"/>
        <w:gridCol w:w="7944"/>
      </w:tblGrid>
      <w:tr w:rsidR="00590669" w14:paraId="310BBFD4" w14:textId="77777777" w:rsidTr="00A379EB">
        <w:trPr>
          <w:trHeight w:val="415"/>
        </w:trPr>
        <w:tc>
          <w:tcPr>
            <w:tcW w:w="1137" w:type="dxa"/>
            <w:shd w:val="clear" w:color="auto" w:fill="FFE599" w:themeFill="accent4" w:themeFillTint="66"/>
          </w:tcPr>
          <w:p w14:paraId="2DC9F1B3" w14:textId="141FF706" w:rsidR="00590669" w:rsidRPr="001100CC" w:rsidRDefault="00590669">
            <w:pPr>
              <w:rPr>
                <w:b/>
                <w:bCs/>
                <w:sz w:val="28"/>
                <w:szCs w:val="28"/>
              </w:rPr>
            </w:pPr>
            <w:r w:rsidRPr="001100CC">
              <w:rPr>
                <w:b/>
                <w:bCs/>
                <w:sz w:val="28"/>
                <w:szCs w:val="28"/>
              </w:rPr>
              <w:t>Title</w:t>
            </w:r>
          </w:p>
        </w:tc>
        <w:tc>
          <w:tcPr>
            <w:tcW w:w="7944" w:type="dxa"/>
            <w:shd w:val="clear" w:color="auto" w:fill="FFE599" w:themeFill="accent4" w:themeFillTint="66"/>
          </w:tcPr>
          <w:p w14:paraId="374A1B72" w14:textId="3B68B244" w:rsidR="00590669" w:rsidRPr="001100CC" w:rsidRDefault="00590669">
            <w:pPr>
              <w:rPr>
                <w:b/>
                <w:bCs/>
                <w:sz w:val="28"/>
                <w:szCs w:val="28"/>
              </w:rPr>
            </w:pPr>
            <w:r w:rsidRPr="001100CC">
              <w:rPr>
                <w:b/>
                <w:bCs/>
                <w:sz w:val="28"/>
                <w:szCs w:val="28"/>
              </w:rPr>
              <w:t xml:space="preserve">Wirral Statement of Action </w:t>
            </w:r>
            <w:r w:rsidR="000077E9">
              <w:rPr>
                <w:b/>
                <w:bCs/>
                <w:sz w:val="28"/>
                <w:szCs w:val="28"/>
              </w:rPr>
              <w:t>Progress Briefing</w:t>
            </w:r>
          </w:p>
        </w:tc>
      </w:tr>
      <w:tr w:rsidR="00CF18AD" w14:paraId="5BE72B71" w14:textId="77777777" w:rsidTr="00A379EB">
        <w:trPr>
          <w:trHeight w:val="408"/>
        </w:trPr>
        <w:tc>
          <w:tcPr>
            <w:tcW w:w="1137" w:type="dxa"/>
          </w:tcPr>
          <w:p w14:paraId="7DA5F9E0" w14:textId="758D2736" w:rsidR="00CF18AD" w:rsidRPr="001100CC" w:rsidRDefault="00590669">
            <w:pPr>
              <w:rPr>
                <w:sz w:val="28"/>
                <w:szCs w:val="28"/>
              </w:rPr>
            </w:pPr>
            <w:r w:rsidRPr="001100CC">
              <w:rPr>
                <w:sz w:val="28"/>
                <w:szCs w:val="28"/>
              </w:rPr>
              <w:t>Date</w:t>
            </w:r>
          </w:p>
        </w:tc>
        <w:tc>
          <w:tcPr>
            <w:tcW w:w="7944" w:type="dxa"/>
          </w:tcPr>
          <w:p w14:paraId="637007C6" w14:textId="78EBB8EF" w:rsidR="00CF18AD" w:rsidRPr="001100CC" w:rsidRDefault="00590669">
            <w:pPr>
              <w:rPr>
                <w:sz w:val="28"/>
                <w:szCs w:val="28"/>
              </w:rPr>
            </w:pPr>
            <w:r w:rsidRPr="001100CC">
              <w:rPr>
                <w:sz w:val="28"/>
                <w:szCs w:val="28"/>
              </w:rPr>
              <w:t>10.05.22</w:t>
            </w:r>
          </w:p>
        </w:tc>
      </w:tr>
      <w:tr w:rsidR="00CF18AD" w14:paraId="4B48FFA2" w14:textId="77777777" w:rsidTr="00A379EB">
        <w:trPr>
          <w:trHeight w:val="1247"/>
        </w:trPr>
        <w:tc>
          <w:tcPr>
            <w:tcW w:w="1137" w:type="dxa"/>
          </w:tcPr>
          <w:p w14:paraId="4E7A7933" w14:textId="10323D2B" w:rsidR="00CF18AD" w:rsidRPr="001100CC" w:rsidRDefault="00590669">
            <w:pPr>
              <w:rPr>
                <w:sz w:val="28"/>
                <w:szCs w:val="28"/>
              </w:rPr>
            </w:pPr>
            <w:r w:rsidRPr="001100CC">
              <w:rPr>
                <w:sz w:val="28"/>
                <w:szCs w:val="28"/>
              </w:rPr>
              <w:t xml:space="preserve">To: </w:t>
            </w:r>
          </w:p>
        </w:tc>
        <w:tc>
          <w:tcPr>
            <w:tcW w:w="7944" w:type="dxa"/>
          </w:tcPr>
          <w:p w14:paraId="4B8869A0" w14:textId="3E4BBE56" w:rsidR="00CF18AD" w:rsidRPr="001100CC" w:rsidRDefault="00590669">
            <w:pPr>
              <w:rPr>
                <w:sz w:val="28"/>
                <w:szCs w:val="28"/>
              </w:rPr>
            </w:pPr>
            <w:r w:rsidRPr="001100CC">
              <w:rPr>
                <w:sz w:val="28"/>
                <w:szCs w:val="28"/>
              </w:rPr>
              <w:t>Headteachers, SENCOs, school staff, local authority officers and managers, health professionals, commissioners, education professionals and parents/carers</w:t>
            </w:r>
          </w:p>
        </w:tc>
      </w:tr>
      <w:tr w:rsidR="00590669" w14:paraId="367AFDD2" w14:textId="77777777" w:rsidTr="00A379EB">
        <w:trPr>
          <w:trHeight w:val="408"/>
        </w:trPr>
        <w:tc>
          <w:tcPr>
            <w:tcW w:w="1137" w:type="dxa"/>
          </w:tcPr>
          <w:p w14:paraId="0397BF45" w14:textId="7BA99D94" w:rsidR="00590669" w:rsidRPr="001100CC" w:rsidRDefault="00590669">
            <w:pPr>
              <w:rPr>
                <w:sz w:val="28"/>
                <w:szCs w:val="28"/>
              </w:rPr>
            </w:pPr>
            <w:r w:rsidRPr="001100CC">
              <w:rPr>
                <w:sz w:val="28"/>
                <w:szCs w:val="28"/>
              </w:rPr>
              <w:t>From:</w:t>
            </w:r>
          </w:p>
        </w:tc>
        <w:tc>
          <w:tcPr>
            <w:tcW w:w="7944" w:type="dxa"/>
          </w:tcPr>
          <w:p w14:paraId="6F915BC8" w14:textId="06ADEAD8" w:rsidR="00590669" w:rsidRPr="001100CC" w:rsidRDefault="00590669">
            <w:pPr>
              <w:rPr>
                <w:sz w:val="28"/>
                <w:szCs w:val="28"/>
              </w:rPr>
            </w:pPr>
            <w:r w:rsidRPr="001100CC">
              <w:rPr>
                <w:sz w:val="28"/>
                <w:szCs w:val="28"/>
              </w:rPr>
              <w:t>Hannah Myers, Performance and Improvement Manager</w:t>
            </w:r>
          </w:p>
        </w:tc>
      </w:tr>
      <w:tr w:rsidR="00590669" w14:paraId="09B8C02E" w14:textId="77777777" w:rsidTr="00A379EB">
        <w:trPr>
          <w:trHeight w:val="85"/>
        </w:trPr>
        <w:tc>
          <w:tcPr>
            <w:tcW w:w="1137" w:type="dxa"/>
          </w:tcPr>
          <w:p w14:paraId="2386BF52" w14:textId="12D28F7D" w:rsidR="00590669" w:rsidRPr="001100CC" w:rsidRDefault="00590669">
            <w:pPr>
              <w:rPr>
                <w:sz w:val="28"/>
                <w:szCs w:val="28"/>
              </w:rPr>
            </w:pPr>
            <w:r w:rsidRPr="001100CC">
              <w:rPr>
                <w:sz w:val="28"/>
                <w:szCs w:val="28"/>
              </w:rPr>
              <w:t>CC:</w:t>
            </w:r>
          </w:p>
        </w:tc>
        <w:tc>
          <w:tcPr>
            <w:tcW w:w="7944" w:type="dxa"/>
          </w:tcPr>
          <w:p w14:paraId="0366618B" w14:textId="21B05045" w:rsidR="00590669" w:rsidRPr="001100CC" w:rsidRDefault="00590669">
            <w:pPr>
              <w:rPr>
                <w:sz w:val="28"/>
                <w:szCs w:val="28"/>
              </w:rPr>
            </w:pPr>
            <w:r w:rsidRPr="001100CC">
              <w:rPr>
                <w:sz w:val="28"/>
                <w:szCs w:val="28"/>
              </w:rPr>
              <w:t>Workstream Leads</w:t>
            </w:r>
          </w:p>
        </w:tc>
      </w:tr>
    </w:tbl>
    <w:p w14:paraId="7F6C9FAA" w14:textId="2EB3F0D3" w:rsidR="00CF18AD" w:rsidRDefault="00CF18AD"/>
    <w:p w14:paraId="482AA3C5" w14:textId="204CD0E3" w:rsidR="00CF18AD" w:rsidRPr="00590669" w:rsidRDefault="00590669">
      <w:pPr>
        <w:rPr>
          <w:rFonts w:asciiTheme="majorHAnsi" w:hAnsiTheme="majorHAnsi" w:cstheme="majorHAnsi"/>
          <w:b/>
          <w:bCs/>
          <w:color w:val="FFC000" w:themeColor="accent4"/>
          <w:sz w:val="32"/>
          <w:szCs w:val="32"/>
        </w:rPr>
      </w:pPr>
      <w:r w:rsidRPr="00590669">
        <w:rPr>
          <w:rFonts w:asciiTheme="majorHAnsi" w:hAnsiTheme="majorHAnsi" w:cstheme="majorHAnsi"/>
          <w:b/>
          <w:bCs/>
          <w:color w:val="FFC000" w:themeColor="accent4"/>
          <w:sz w:val="32"/>
          <w:szCs w:val="32"/>
        </w:rPr>
        <w:t>1.</w:t>
      </w:r>
      <w:r w:rsidRPr="00590669">
        <w:rPr>
          <w:rFonts w:asciiTheme="majorHAnsi" w:hAnsiTheme="majorHAnsi" w:cstheme="majorHAnsi"/>
          <w:b/>
          <w:bCs/>
          <w:color w:val="FFC000" w:themeColor="accent4"/>
          <w:sz w:val="32"/>
          <w:szCs w:val="32"/>
        </w:rPr>
        <w:tab/>
      </w:r>
      <w:r w:rsidR="00CF18AD" w:rsidRPr="00590669">
        <w:rPr>
          <w:rFonts w:asciiTheme="majorHAnsi" w:hAnsiTheme="majorHAnsi" w:cstheme="majorHAnsi"/>
          <w:b/>
          <w:bCs/>
          <w:color w:val="FFC000" w:themeColor="accent4"/>
          <w:sz w:val="32"/>
          <w:szCs w:val="32"/>
        </w:rPr>
        <w:t>Who is this briefing for?</w:t>
      </w:r>
    </w:p>
    <w:p w14:paraId="6AEF3A06" w14:textId="57CF6D7C" w:rsidR="00CF18AD" w:rsidRPr="00590669" w:rsidRDefault="00CF18AD">
      <w:pPr>
        <w:rPr>
          <w:sz w:val="28"/>
          <w:szCs w:val="28"/>
        </w:rPr>
      </w:pPr>
      <w:r w:rsidRPr="00590669">
        <w:rPr>
          <w:sz w:val="28"/>
          <w:szCs w:val="28"/>
        </w:rPr>
        <w:t>This briefing note is intended to inform stakeholders who are involved in providing support for children and young people with Special Educational Needs and Disabilities (SEND). This includes:</w:t>
      </w:r>
    </w:p>
    <w:p w14:paraId="501D1A6F" w14:textId="07206A56" w:rsidR="00CF18AD" w:rsidRPr="00590669" w:rsidRDefault="00CF18AD" w:rsidP="00CF18AD">
      <w:pPr>
        <w:pStyle w:val="ListParagraph"/>
        <w:numPr>
          <w:ilvl w:val="1"/>
          <w:numId w:val="1"/>
        </w:numPr>
        <w:rPr>
          <w:sz w:val="28"/>
          <w:szCs w:val="28"/>
        </w:rPr>
      </w:pPr>
      <w:r w:rsidRPr="00590669">
        <w:rPr>
          <w:sz w:val="28"/>
          <w:szCs w:val="28"/>
        </w:rPr>
        <w:t xml:space="preserve">Headteachers and school staff </w:t>
      </w:r>
    </w:p>
    <w:p w14:paraId="0F7D5D8F" w14:textId="13A03FEC" w:rsidR="00CF18AD" w:rsidRPr="00590669" w:rsidRDefault="00CF18AD" w:rsidP="00CF18AD">
      <w:pPr>
        <w:pStyle w:val="ListParagraph"/>
        <w:numPr>
          <w:ilvl w:val="1"/>
          <w:numId w:val="1"/>
        </w:numPr>
        <w:rPr>
          <w:sz w:val="28"/>
          <w:szCs w:val="28"/>
        </w:rPr>
      </w:pPr>
      <w:r w:rsidRPr="00590669">
        <w:rPr>
          <w:sz w:val="28"/>
          <w:szCs w:val="28"/>
        </w:rPr>
        <w:t>SENCO’s</w:t>
      </w:r>
    </w:p>
    <w:p w14:paraId="0DCE9321" w14:textId="634AA0A4" w:rsidR="00CF18AD" w:rsidRPr="00590669" w:rsidRDefault="00CF18AD" w:rsidP="00CF18AD">
      <w:pPr>
        <w:pStyle w:val="ListParagraph"/>
        <w:numPr>
          <w:ilvl w:val="1"/>
          <w:numId w:val="1"/>
        </w:numPr>
        <w:rPr>
          <w:sz w:val="28"/>
          <w:szCs w:val="28"/>
        </w:rPr>
      </w:pPr>
      <w:r w:rsidRPr="00590669">
        <w:rPr>
          <w:sz w:val="28"/>
          <w:szCs w:val="28"/>
        </w:rPr>
        <w:t>Health professionals</w:t>
      </w:r>
    </w:p>
    <w:p w14:paraId="6426C51D" w14:textId="475866DE" w:rsidR="00CF18AD" w:rsidRPr="00590669" w:rsidRDefault="00CF18AD" w:rsidP="00CF18AD">
      <w:pPr>
        <w:pStyle w:val="ListParagraph"/>
        <w:numPr>
          <w:ilvl w:val="1"/>
          <w:numId w:val="1"/>
        </w:numPr>
        <w:rPr>
          <w:sz w:val="28"/>
          <w:szCs w:val="28"/>
        </w:rPr>
      </w:pPr>
      <w:r w:rsidRPr="00590669">
        <w:rPr>
          <w:sz w:val="28"/>
          <w:szCs w:val="28"/>
        </w:rPr>
        <w:t xml:space="preserve">Education professionals </w:t>
      </w:r>
    </w:p>
    <w:p w14:paraId="4614B14A" w14:textId="46F76120" w:rsidR="00CF18AD" w:rsidRPr="00590669" w:rsidRDefault="00CF18AD" w:rsidP="00CF18AD">
      <w:pPr>
        <w:pStyle w:val="ListParagraph"/>
        <w:numPr>
          <w:ilvl w:val="1"/>
          <w:numId w:val="1"/>
        </w:numPr>
        <w:rPr>
          <w:sz w:val="28"/>
          <w:szCs w:val="28"/>
        </w:rPr>
      </w:pPr>
      <w:r w:rsidRPr="00590669">
        <w:rPr>
          <w:sz w:val="28"/>
          <w:szCs w:val="28"/>
        </w:rPr>
        <w:t>Local authority managers and officers</w:t>
      </w:r>
    </w:p>
    <w:p w14:paraId="1B55EAA3" w14:textId="6A7D3C02" w:rsidR="00CF18AD" w:rsidRPr="00590669" w:rsidRDefault="00CF18AD" w:rsidP="00CF18AD">
      <w:pPr>
        <w:pStyle w:val="ListParagraph"/>
        <w:numPr>
          <w:ilvl w:val="1"/>
          <w:numId w:val="1"/>
        </w:numPr>
        <w:rPr>
          <w:sz w:val="28"/>
          <w:szCs w:val="28"/>
        </w:rPr>
      </w:pPr>
      <w:r w:rsidRPr="00590669">
        <w:rPr>
          <w:sz w:val="28"/>
          <w:szCs w:val="28"/>
        </w:rPr>
        <w:t>Parents/carers (there is also a separate briefing for parents/carers</w:t>
      </w:r>
      <w:r w:rsidR="005F3B2F" w:rsidRPr="00590669">
        <w:rPr>
          <w:sz w:val="28"/>
          <w:szCs w:val="28"/>
        </w:rPr>
        <w:t>)</w:t>
      </w:r>
    </w:p>
    <w:p w14:paraId="6173F616" w14:textId="5287D570" w:rsidR="005F3B2F" w:rsidRPr="00590669" w:rsidRDefault="005F3B2F" w:rsidP="00CF18AD">
      <w:pPr>
        <w:pStyle w:val="ListParagraph"/>
        <w:numPr>
          <w:ilvl w:val="1"/>
          <w:numId w:val="1"/>
        </w:numPr>
        <w:rPr>
          <w:sz w:val="28"/>
          <w:szCs w:val="28"/>
        </w:rPr>
      </w:pPr>
      <w:r w:rsidRPr="00590669">
        <w:rPr>
          <w:sz w:val="28"/>
          <w:szCs w:val="28"/>
        </w:rPr>
        <w:t>Children and young people</w:t>
      </w:r>
    </w:p>
    <w:p w14:paraId="2DDD7609" w14:textId="1F1EC9DF" w:rsidR="005F3B2F" w:rsidRPr="00590669" w:rsidRDefault="00590669" w:rsidP="005F3B2F">
      <w:pPr>
        <w:rPr>
          <w:rFonts w:asciiTheme="majorHAnsi" w:hAnsiTheme="majorHAnsi" w:cstheme="majorHAnsi"/>
          <w:b/>
          <w:bCs/>
          <w:color w:val="FFC000" w:themeColor="accent4"/>
          <w:sz w:val="32"/>
          <w:szCs w:val="32"/>
        </w:rPr>
      </w:pPr>
      <w:r w:rsidRPr="00590669">
        <w:rPr>
          <w:rFonts w:asciiTheme="majorHAnsi" w:hAnsiTheme="majorHAnsi" w:cstheme="majorHAnsi"/>
          <w:b/>
          <w:bCs/>
          <w:color w:val="FFC000" w:themeColor="accent4"/>
          <w:sz w:val="32"/>
          <w:szCs w:val="32"/>
        </w:rPr>
        <w:t>2.</w:t>
      </w:r>
      <w:r w:rsidRPr="00590669">
        <w:rPr>
          <w:rFonts w:asciiTheme="majorHAnsi" w:hAnsiTheme="majorHAnsi" w:cstheme="majorHAnsi"/>
          <w:b/>
          <w:bCs/>
          <w:color w:val="FFC000" w:themeColor="accent4"/>
          <w:sz w:val="32"/>
          <w:szCs w:val="32"/>
        </w:rPr>
        <w:tab/>
      </w:r>
      <w:r w:rsidR="005F3B2F" w:rsidRPr="00590669">
        <w:rPr>
          <w:rFonts w:asciiTheme="majorHAnsi" w:hAnsiTheme="majorHAnsi" w:cstheme="majorHAnsi"/>
          <w:b/>
          <w:bCs/>
          <w:color w:val="FFC000" w:themeColor="accent4"/>
          <w:sz w:val="32"/>
          <w:szCs w:val="32"/>
        </w:rPr>
        <w:t>What is the purpose of the briefing?</w:t>
      </w:r>
    </w:p>
    <w:p w14:paraId="79F2F93D" w14:textId="73821869" w:rsidR="005F3B2F" w:rsidRPr="00590669" w:rsidRDefault="005F3B2F" w:rsidP="005F3B2F">
      <w:pPr>
        <w:rPr>
          <w:sz w:val="28"/>
          <w:szCs w:val="28"/>
        </w:rPr>
      </w:pPr>
      <w:r w:rsidRPr="00590669">
        <w:rPr>
          <w:sz w:val="28"/>
          <w:szCs w:val="28"/>
        </w:rPr>
        <w:t>The purpose of the briefing note is to provide an update on the progress on the actions identified in the Wirral Statement of Action</w:t>
      </w:r>
      <w:r w:rsidR="000077E9">
        <w:rPr>
          <w:sz w:val="28"/>
          <w:szCs w:val="28"/>
        </w:rPr>
        <w:t xml:space="preserve"> (</w:t>
      </w:r>
      <w:proofErr w:type="spellStart"/>
      <w:r w:rsidR="000077E9">
        <w:rPr>
          <w:sz w:val="28"/>
          <w:szCs w:val="28"/>
        </w:rPr>
        <w:t>WsoA</w:t>
      </w:r>
      <w:proofErr w:type="spellEnd"/>
      <w:r w:rsidR="000077E9">
        <w:rPr>
          <w:sz w:val="28"/>
          <w:szCs w:val="28"/>
        </w:rPr>
        <w:t>)</w:t>
      </w:r>
      <w:r w:rsidRPr="00590669">
        <w:rPr>
          <w:sz w:val="28"/>
          <w:szCs w:val="28"/>
        </w:rPr>
        <w:t xml:space="preserve">. This is the improvement plan for SEND which has been </w:t>
      </w:r>
      <w:r w:rsidR="00A87AB4" w:rsidRPr="00590669">
        <w:rPr>
          <w:sz w:val="28"/>
          <w:szCs w:val="28"/>
        </w:rPr>
        <w:t>produced</w:t>
      </w:r>
      <w:r w:rsidR="00F551FA" w:rsidRPr="00590669">
        <w:rPr>
          <w:sz w:val="28"/>
          <w:szCs w:val="28"/>
        </w:rPr>
        <w:t xml:space="preserve"> following the local area inspection of SEND undertaken by the CQC</w:t>
      </w:r>
      <w:r w:rsidR="00A87AB4" w:rsidRPr="00590669">
        <w:rPr>
          <w:sz w:val="28"/>
          <w:szCs w:val="28"/>
        </w:rPr>
        <w:t xml:space="preserve"> </w:t>
      </w:r>
      <w:r w:rsidR="00F551FA" w:rsidRPr="00590669">
        <w:rPr>
          <w:sz w:val="28"/>
          <w:szCs w:val="28"/>
        </w:rPr>
        <w:t xml:space="preserve">and Ofsted. </w:t>
      </w:r>
    </w:p>
    <w:p w14:paraId="162DA293" w14:textId="7B3338C4" w:rsidR="00A16788" w:rsidRDefault="00A16788" w:rsidP="00A16788">
      <w:pPr>
        <w:spacing w:after="0" w:line="240" w:lineRule="auto"/>
        <w:rPr>
          <w:rFonts w:cs="Arial"/>
          <w:b/>
        </w:rPr>
      </w:pPr>
    </w:p>
    <w:p w14:paraId="00C8C60D" w14:textId="77777777" w:rsidR="00590669" w:rsidRPr="00590669" w:rsidRDefault="00590669" w:rsidP="00A16788">
      <w:pPr>
        <w:rPr>
          <w:rFonts w:asciiTheme="majorHAnsi" w:hAnsiTheme="majorHAnsi" w:cstheme="majorHAnsi"/>
          <w:b/>
          <w:bCs/>
          <w:color w:val="FFC000" w:themeColor="accent4"/>
          <w:sz w:val="32"/>
          <w:szCs w:val="32"/>
        </w:rPr>
      </w:pPr>
      <w:r w:rsidRPr="00590669">
        <w:rPr>
          <w:rFonts w:asciiTheme="majorHAnsi" w:hAnsiTheme="majorHAnsi" w:cstheme="majorHAnsi"/>
          <w:b/>
          <w:bCs/>
          <w:color w:val="FFC000" w:themeColor="accent4"/>
          <w:sz w:val="32"/>
          <w:szCs w:val="32"/>
        </w:rPr>
        <w:t>3.</w:t>
      </w:r>
      <w:r w:rsidRPr="00590669">
        <w:rPr>
          <w:rFonts w:asciiTheme="majorHAnsi" w:hAnsiTheme="majorHAnsi" w:cstheme="majorHAnsi"/>
          <w:b/>
          <w:bCs/>
          <w:color w:val="FFC000" w:themeColor="accent4"/>
          <w:sz w:val="32"/>
          <w:szCs w:val="32"/>
        </w:rPr>
        <w:tab/>
        <w:t>Background information</w:t>
      </w:r>
    </w:p>
    <w:p w14:paraId="3E3BAA4B" w14:textId="37382AA5" w:rsidR="00A16788" w:rsidRPr="00590669" w:rsidRDefault="00A16788" w:rsidP="00A16788">
      <w:pPr>
        <w:rPr>
          <w:rFonts w:eastAsia="Calibri" w:cs="Arial"/>
          <w:bCs/>
          <w:sz w:val="28"/>
          <w:szCs w:val="28"/>
        </w:rPr>
      </w:pPr>
      <w:r w:rsidRPr="00590669">
        <w:rPr>
          <w:rFonts w:eastAsia="Calibri" w:cs="Arial"/>
          <w:sz w:val="28"/>
          <w:szCs w:val="28"/>
        </w:rPr>
        <w:t>In October 2021</w:t>
      </w:r>
      <w:r w:rsidRPr="00590669">
        <w:rPr>
          <w:rFonts w:eastAsia="Calibri" w:cs="Arial"/>
          <w:bCs/>
          <w:sz w:val="28"/>
          <w:szCs w:val="28"/>
        </w:rPr>
        <w:t xml:space="preserve">, a joint local area SEND inspection was conducted by Ofsted and the Care Quality Commission (CQC). Following the inspection, the local area was required to submit a Written Statement of Action in response to the findings and ‘areas of significant weakness’ as outlined in the inspection report. </w:t>
      </w:r>
    </w:p>
    <w:p w14:paraId="585AE587" w14:textId="77777777" w:rsidR="00A16788" w:rsidRPr="00590669" w:rsidRDefault="00A16788" w:rsidP="00A16788">
      <w:pPr>
        <w:rPr>
          <w:rFonts w:eastAsia="Calibri" w:cs="Arial"/>
          <w:sz w:val="28"/>
          <w:szCs w:val="28"/>
        </w:rPr>
      </w:pPr>
      <w:r w:rsidRPr="00590669">
        <w:rPr>
          <w:rFonts w:eastAsia="Calibri" w:cs="Arial"/>
          <w:sz w:val="28"/>
          <w:szCs w:val="28"/>
        </w:rPr>
        <w:lastRenderedPageBreak/>
        <w:t xml:space="preserve">Between December 21, and February 2022, workshops and engagement sessions were held with partners, stakeholders, parents and carers and young people to consider and discuss the actions that were needed to improve services and address the development areas, as identified. </w:t>
      </w:r>
    </w:p>
    <w:p w14:paraId="48EAB4CE" w14:textId="38655510" w:rsidR="00A16788" w:rsidRPr="00590669" w:rsidRDefault="00A16788" w:rsidP="00A16788">
      <w:pPr>
        <w:rPr>
          <w:rFonts w:eastAsia="Calibri" w:cs="Arial"/>
          <w:bCs/>
          <w:sz w:val="28"/>
          <w:szCs w:val="28"/>
        </w:rPr>
      </w:pPr>
      <w:r w:rsidRPr="00590669">
        <w:rPr>
          <w:rFonts w:eastAsia="Calibri" w:cs="Arial"/>
          <w:sz w:val="28"/>
          <w:szCs w:val="28"/>
        </w:rPr>
        <w:t>A final version of the Wirral Statement of Action was submitted to the Department for Education in March.  On 28</w:t>
      </w:r>
      <w:r w:rsidRPr="00590669">
        <w:rPr>
          <w:rFonts w:eastAsia="Calibri" w:cs="Arial"/>
          <w:sz w:val="28"/>
          <w:szCs w:val="28"/>
          <w:vertAlign w:val="superscript"/>
        </w:rPr>
        <w:t>th</w:t>
      </w:r>
      <w:r w:rsidRPr="00590669">
        <w:rPr>
          <w:rFonts w:eastAsia="Calibri" w:cs="Arial"/>
          <w:sz w:val="28"/>
          <w:szCs w:val="28"/>
        </w:rPr>
        <w:t xml:space="preserve"> March, a joint letter was received from the CQC and Ofsted confirming that the </w:t>
      </w:r>
      <w:proofErr w:type="spellStart"/>
      <w:r w:rsidRPr="00590669">
        <w:rPr>
          <w:rFonts w:eastAsia="Calibri" w:cs="Arial"/>
          <w:sz w:val="28"/>
          <w:szCs w:val="28"/>
        </w:rPr>
        <w:t>WSoA</w:t>
      </w:r>
      <w:proofErr w:type="spellEnd"/>
      <w:r w:rsidRPr="00590669">
        <w:rPr>
          <w:rFonts w:eastAsia="Calibri" w:cs="Arial"/>
          <w:sz w:val="28"/>
          <w:szCs w:val="28"/>
        </w:rPr>
        <w:t xml:space="preserve"> had been approved.</w:t>
      </w:r>
    </w:p>
    <w:p w14:paraId="7070464A" w14:textId="5377FAB7" w:rsidR="00A05E6F" w:rsidRPr="00590669" w:rsidRDefault="00590669" w:rsidP="00590669">
      <w:pPr>
        <w:rPr>
          <w:rFonts w:asciiTheme="majorHAnsi" w:eastAsia="Calibri" w:hAnsiTheme="majorHAnsi" w:cstheme="majorHAnsi"/>
          <w:b/>
          <w:bCs/>
          <w:color w:val="FFC000" w:themeColor="accent4"/>
          <w:sz w:val="32"/>
          <w:szCs w:val="32"/>
        </w:rPr>
      </w:pPr>
      <w:r w:rsidRPr="00590669">
        <w:rPr>
          <w:rFonts w:asciiTheme="majorHAnsi" w:hAnsiTheme="majorHAnsi" w:cstheme="majorHAnsi"/>
          <w:b/>
          <w:bCs/>
          <w:color w:val="FFC000" w:themeColor="accent4"/>
          <w:sz w:val="32"/>
          <w:szCs w:val="32"/>
        </w:rPr>
        <w:t xml:space="preserve">4. </w:t>
      </w:r>
      <w:r>
        <w:rPr>
          <w:rFonts w:asciiTheme="majorHAnsi" w:hAnsiTheme="majorHAnsi" w:cstheme="majorHAnsi"/>
          <w:b/>
          <w:bCs/>
          <w:color w:val="FFC000" w:themeColor="accent4"/>
          <w:sz w:val="32"/>
          <w:szCs w:val="32"/>
        </w:rPr>
        <w:tab/>
      </w:r>
      <w:r w:rsidR="00A16788" w:rsidRPr="00590669">
        <w:rPr>
          <w:rFonts w:asciiTheme="majorHAnsi" w:eastAsia="Calibri" w:hAnsiTheme="majorHAnsi" w:cstheme="majorHAnsi"/>
          <w:b/>
          <w:bCs/>
          <w:color w:val="FFC000" w:themeColor="accent4"/>
          <w:sz w:val="32"/>
          <w:szCs w:val="32"/>
        </w:rPr>
        <w:t>Wirral Statement of Action</w:t>
      </w:r>
      <w:r w:rsidRPr="00590669">
        <w:rPr>
          <w:rFonts w:asciiTheme="majorHAnsi" w:eastAsia="Calibri" w:hAnsiTheme="majorHAnsi" w:cstheme="majorHAnsi"/>
          <w:b/>
          <w:bCs/>
          <w:color w:val="FFC000" w:themeColor="accent4"/>
          <w:sz w:val="32"/>
          <w:szCs w:val="32"/>
        </w:rPr>
        <w:t xml:space="preserve"> Overview</w:t>
      </w:r>
    </w:p>
    <w:p w14:paraId="15BC2849" w14:textId="7FD99358" w:rsidR="00A16788" w:rsidRPr="00590669" w:rsidRDefault="00590669" w:rsidP="00A05E6F">
      <w:pPr>
        <w:ind w:left="720" w:hanging="720"/>
        <w:rPr>
          <w:rFonts w:eastAsia="Calibri" w:cstheme="minorHAnsi"/>
          <w:b/>
          <w:bCs/>
          <w:sz w:val="28"/>
          <w:szCs w:val="28"/>
        </w:rPr>
      </w:pPr>
      <w:r w:rsidRPr="00590669">
        <w:rPr>
          <w:rFonts w:eastAsia="Calibri" w:cstheme="minorHAnsi"/>
          <w:sz w:val="28"/>
          <w:szCs w:val="28"/>
        </w:rPr>
        <w:t>S</w:t>
      </w:r>
      <w:r w:rsidR="00A16788" w:rsidRPr="00590669">
        <w:rPr>
          <w:rFonts w:eastAsia="Calibri" w:cstheme="minorHAnsi"/>
          <w:sz w:val="28"/>
          <w:szCs w:val="28"/>
        </w:rPr>
        <w:t>ix workstreams were identified to structure the improvement plan. They are:</w:t>
      </w:r>
    </w:p>
    <w:p w14:paraId="46E2AB72" w14:textId="77777777" w:rsidR="00A16788" w:rsidRPr="00590669"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A6A6A6" w:themeColor="background1" w:themeShade="A6"/>
          <w:sz w:val="28"/>
          <w:szCs w:val="28"/>
        </w:rPr>
        <w:t>Workstream1: Data analysis and joint commissioning</w:t>
      </w:r>
      <w:r w:rsidRPr="00590669">
        <w:rPr>
          <w:rFonts w:cstheme="minorHAnsi"/>
          <w:b/>
          <w:bCs/>
          <w:sz w:val="28"/>
          <w:szCs w:val="28"/>
        </w:rPr>
        <w:t>.</w:t>
      </w:r>
      <w:r w:rsidRPr="00590669">
        <w:rPr>
          <w:rFonts w:cstheme="minorHAnsi"/>
          <w:sz w:val="28"/>
          <w:szCs w:val="28"/>
        </w:rPr>
        <w:t xml:space="preserve"> Led by the Assistant Director, Care and Health and Commissioning for People, this workstream encompasses system and data review, strategic needs analysis and joint commissioning. </w:t>
      </w:r>
    </w:p>
    <w:p w14:paraId="00D81EBE" w14:textId="77777777" w:rsidR="00A16788" w:rsidRPr="00590669" w:rsidRDefault="00A16788" w:rsidP="00590669">
      <w:pPr>
        <w:pStyle w:val="ListParagraph"/>
        <w:spacing w:line="240" w:lineRule="auto"/>
        <w:ind w:left="360"/>
        <w:rPr>
          <w:rFonts w:cstheme="minorHAnsi"/>
          <w:sz w:val="28"/>
          <w:szCs w:val="28"/>
        </w:rPr>
      </w:pPr>
    </w:p>
    <w:p w14:paraId="7E2008D4" w14:textId="77777777" w:rsidR="00A16788" w:rsidRPr="00590669"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FFC000" w:themeColor="accent4"/>
          <w:sz w:val="28"/>
          <w:szCs w:val="28"/>
        </w:rPr>
        <w:t>Workstream 2: Education Health and Care (EHC) Plans and Annual Reviews</w:t>
      </w:r>
      <w:r w:rsidRPr="00590669">
        <w:rPr>
          <w:rFonts w:cstheme="minorHAnsi"/>
          <w:color w:val="FFC000" w:themeColor="accent4"/>
          <w:sz w:val="28"/>
          <w:szCs w:val="28"/>
        </w:rPr>
        <w:t xml:space="preserve">. </w:t>
      </w:r>
      <w:r w:rsidRPr="00590669">
        <w:rPr>
          <w:rFonts w:cstheme="minorHAnsi"/>
          <w:sz w:val="28"/>
          <w:szCs w:val="28"/>
        </w:rPr>
        <w:t>Led by the Assistant Director for Strategy and Partnerships (People), this workstream focusses on improving the timeliness and quality of plans and annual reviews.</w:t>
      </w:r>
    </w:p>
    <w:p w14:paraId="2DFFBADC" w14:textId="77777777" w:rsidR="00A16788" w:rsidRPr="00590669" w:rsidRDefault="00A16788" w:rsidP="00590669">
      <w:pPr>
        <w:pStyle w:val="ListParagraph"/>
        <w:spacing w:line="240" w:lineRule="auto"/>
        <w:ind w:left="360"/>
        <w:rPr>
          <w:rFonts w:cstheme="minorHAnsi"/>
          <w:sz w:val="28"/>
          <w:szCs w:val="28"/>
        </w:rPr>
      </w:pPr>
    </w:p>
    <w:p w14:paraId="46B04318" w14:textId="77777777" w:rsidR="00A16788" w:rsidRPr="00590669"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ED7D31" w:themeColor="accent2"/>
          <w:sz w:val="28"/>
          <w:szCs w:val="28"/>
        </w:rPr>
        <w:t>Workstream 3: Co-production, Communication and Relationships.</w:t>
      </w:r>
      <w:r w:rsidRPr="00590669">
        <w:rPr>
          <w:rFonts w:cstheme="minorHAnsi"/>
          <w:color w:val="ED7D31" w:themeColor="accent2"/>
          <w:sz w:val="28"/>
          <w:szCs w:val="28"/>
        </w:rPr>
        <w:t xml:space="preserve"> </w:t>
      </w:r>
      <w:r w:rsidRPr="00590669">
        <w:rPr>
          <w:rFonts w:cstheme="minorHAnsi"/>
          <w:sz w:val="28"/>
          <w:szCs w:val="28"/>
        </w:rPr>
        <w:t>Led by the interim Deputy Director for Children’s Services, this workstream focusses on strengthening communication with parents, carers and children and young people, ensuring that individual plans and whole-system strategies are co-produced.</w:t>
      </w:r>
    </w:p>
    <w:p w14:paraId="730AB9E5" w14:textId="77777777" w:rsidR="00A16788" w:rsidRPr="00590669" w:rsidRDefault="00A16788" w:rsidP="00590669">
      <w:pPr>
        <w:pStyle w:val="ListParagraph"/>
        <w:spacing w:line="240" w:lineRule="auto"/>
        <w:ind w:left="360"/>
        <w:rPr>
          <w:rFonts w:cstheme="minorHAnsi"/>
          <w:sz w:val="28"/>
          <w:szCs w:val="28"/>
        </w:rPr>
      </w:pPr>
    </w:p>
    <w:p w14:paraId="7D8A7FA6" w14:textId="77777777" w:rsidR="00A16788" w:rsidRPr="00590669"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5B9BD5" w:themeColor="accent5"/>
          <w:sz w:val="28"/>
          <w:szCs w:val="28"/>
        </w:rPr>
        <w:t>Workstream 4: Inclusive practices.</w:t>
      </w:r>
      <w:r w:rsidRPr="00590669">
        <w:rPr>
          <w:rFonts w:cstheme="minorHAnsi"/>
          <w:sz w:val="28"/>
          <w:szCs w:val="28"/>
        </w:rPr>
        <w:t xml:space="preserve"> Led by the Assistant Director for Education, this workstream seeks to strengthen the quality of practice and support to children and young people with SEND in their local schools and communities.</w:t>
      </w:r>
    </w:p>
    <w:p w14:paraId="454FEE14" w14:textId="77777777" w:rsidR="00A16788" w:rsidRPr="00590669" w:rsidRDefault="00A16788" w:rsidP="00590669">
      <w:pPr>
        <w:pStyle w:val="ListParagraph"/>
        <w:spacing w:line="240" w:lineRule="auto"/>
        <w:ind w:left="360"/>
        <w:rPr>
          <w:rFonts w:cstheme="minorHAnsi"/>
          <w:sz w:val="28"/>
          <w:szCs w:val="28"/>
        </w:rPr>
      </w:pPr>
    </w:p>
    <w:p w14:paraId="266D48F6" w14:textId="77777777" w:rsidR="00A16788" w:rsidRPr="00590669"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70AD47" w:themeColor="accent6"/>
          <w:sz w:val="28"/>
          <w:szCs w:val="28"/>
        </w:rPr>
        <w:t>Workstream 5: Local Provision and Strategic oversight</w:t>
      </w:r>
      <w:r w:rsidRPr="00590669">
        <w:rPr>
          <w:rFonts w:cstheme="minorHAnsi"/>
          <w:sz w:val="28"/>
          <w:szCs w:val="28"/>
        </w:rPr>
        <w:t>. Led by the Deputy Director of Patient Safety and Quality, this workstream explores ways of reducing complaints and tribunals and ensuring that systems, governance and monitoring is robust and strategic leaders have oversight of key issues and risks.</w:t>
      </w:r>
    </w:p>
    <w:p w14:paraId="4994DB16" w14:textId="77777777" w:rsidR="00A16788" w:rsidRPr="00590669" w:rsidRDefault="00A16788" w:rsidP="00590669">
      <w:pPr>
        <w:pStyle w:val="ListParagraph"/>
        <w:spacing w:line="240" w:lineRule="auto"/>
        <w:ind w:left="360"/>
        <w:rPr>
          <w:rFonts w:cstheme="minorHAnsi"/>
          <w:sz w:val="28"/>
          <w:szCs w:val="28"/>
        </w:rPr>
      </w:pPr>
    </w:p>
    <w:p w14:paraId="53AFE221" w14:textId="77777777" w:rsidR="00590669" w:rsidRPr="001100CC" w:rsidRDefault="00A16788" w:rsidP="00590669">
      <w:pPr>
        <w:pStyle w:val="ListParagraph"/>
        <w:numPr>
          <w:ilvl w:val="0"/>
          <w:numId w:val="2"/>
        </w:numPr>
        <w:spacing w:after="200" w:line="240" w:lineRule="auto"/>
        <w:ind w:left="360"/>
        <w:rPr>
          <w:rFonts w:cstheme="minorHAnsi"/>
          <w:sz w:val="28"/>
          <w:szCs w:val="28"/>
        </w:rPr>
      </w:pPr>
      <w:r w:rsidRPr="00590669">
        <w:rPr>
          <w:rFonts w:cstheme="minorHAnsi"/>
          <w:b/>
          <w:bCs/>
          <w:color w:val="4472C4" w:themeColor="accent1"/>
          <w:sz w:val="28"/>
          <w:szCs w:val="28"/>
        </w:rPr>
        <w:lastRenderedPageBreak/>
        <w:t>Workstream 6: Local Officer</w:t>
      </w:r>
      <w:r w:rsidRPr="00590669">
        <w:rPr>
          <w:rFonts w:cstheme="minorHAnsi"/>
          <w:sz w:val="28"/>
          <w:szCs w:val="28"/>
        </w:rPr>
        <w:t xml:space="preserve">. Led by the Director for Communication from Wirral CCG, this workstream seeks to ensure that the Local Offer is a highly valued source of information and support to parents, carers, children and </w:t>
      </w:r>
      <w:r w:rsidRPr="001100CC">
        <w:rPr>
          <w:rFonts w:cstheme="minorHAnsi"/>
          <w:sz w:val="28"/>
          <w:szCs w:val="28"/>
        </w:rPr>
        <w:t>young people.</w:t>
      </w:r>
    </w:p>
    <w:p w14:paraId="64EC2E80" w14:textId="1D82E767" w:rsidR="00A16788" w:rsidRPr="001100CC" w:rsidRDefault="00A16788" w:rsidP="001100CC">
      <w:pPr>
        <w:spacing w:after="200" w:line="240" w:lineRule="auto"/>
        <w:rPr>
          <w:rFonts w:cstheme="minorHAnsi"/>
          <w:sz w:val="28"/>
          <w:szCs w:val="28"/>
        </w:rPr>
      </w:pPr>
      <w:r w:rsidRPr="001100CC">
        <w:rPr>
          <w:rFonts w:eastAsia="Calibri" w:cstheme="minorHAnsi"/>
          <w:sz w:val="28"/>
          <w:szCs w:val="28"/>
        </w:rPr>
        <w:t xml:space="preserve">Each workstream has outcomes and actions as detailed within the Plan. Success measures are integral to evidencing improvement. These will provide </w:t>
      </w:r>
      <w:r w:rsidRPr="001100CC">
        <w:rPr>
          <w:rFonts w:eastAsia="Calibri" w:cs="Arial"/>
          <w:sz w:val="28"/>
          <w:szCs w:val="28"/>
        </w:rPr>
        <w:t xml:space="preserve">the foundation which members can assess whether delivery of actions is making a difference. </w:t>
      </w:r>
    </w:p>
    <w:p w14:paraId="6F216115" w14:textId="4A872412" w:rsidR="00A16788" w:rsidRPr="00DC7A85" w:rsidRDefault="001100CC" w:rsidP="00A16788">
      <w:pPr>
        <w:ind w:left="720" w:hanging="720"/>
        <w:rPr>
          <w:rFonts w:asciiTheme="majorHAnsi" w:eastAsia="Calibri" w:hAnsiTheme="majorHAnsi" w:cstheme="majorHAnsi"/>
          <w:b/>
          <w:bCs/>
          <w:color w:val="FFC000" w:themeColor="accent4"/>
          <w:sz w:val="32"/>
          <w:szCs w:val="32"/>
        </w:rPr>
      </w:pPr>
      <w:r w:rsidRPr="00DC7A85">
        <w:rPr>
          <w:rFonts w:asciiTheme="majorHAnsi" w:eastAsia="Calibri" w:hAnsiTheme="majorHAnsi" w:cstheme="majorHAnsi"/>
          <w:b/>
          <w:bCs/>
          <w:color w:val="FFC000" w:themeColor="accent4"/>
          <w:sz w:val="32"/>
          <w:szCs w:val="32"/>
        </w:rPr>
        <w:t>5.</w:t>
      </w:r>
      <w:r w:rsidRPr="00DC7A85">
        <w:rPr>
          <w:rFonts w:asciiTheme="majorHAnsi" w:eastAsia="Calibri" w:hAnsiTheme="majorHAnsi" w:cstheme="majorHAnsi"/>
          <w:b/>
          <w:bCs/>
          <w:color w:val="FFC000" w:themeColor="accent4"/>
          <w:sz w:val="32"/>
          <w:szCs w:val="32"/>
        </w:rPr>
        <w:tab/>
        <w:t>Update report – period 1</w:t>
      </w:r>
    </w:p>
    <w:p w14:paraId="460C5356" w14:textId="77777777" w:rsidR="00A16788" w:rsidRPr="00DC7A85" w:rsidRDefault="00A16788" w:rsidP="001100CC">
      <w:pPr>
        <w:pStyle w:val="ListParagraph"/>
        <w:numPr>
          <w:ilvl w:val="0"/>
          <w:numId w:val="2"/>
        </w:numPr>
        <w:spacing w:after="200" w:line="276" w:lineRule="auto"/>
        <w:ind w:left="360"/>
        <w:rPr>
          <w:rFonts w:cstheme="minorHAnsi"/>
          <w:b/>
          <w:bCs/>
          <w:sz w:val="28"/>
          <w:szCs w:val="28"/>
        </w:rPr>
      </w:pPr>
      <w:r w:rsidRPr="00DC7A85">
        <w:rPr>
          <w:rFonts w:cstheme="minorHAnsi"/>
          <w:b/>
          <w:bCs/>
          <w:sz w:val="28"/>
          <w:szCs w:val="28"/>
        </w:rPr>
        <w:t>Workstream 1: Data analysis and joint commissioning</w:t>
      </w:r>
    </w:p>
    <w:p w14:paraId="61E5EC52"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Health and local authority partners have agreed data to be shared</w:t>
      </w:r>
    </w:p>
    <w:p w14:paraId="4CA7FD13"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A review of what data is available is underway</w:t>
      </w:r>
    </w:p>
    <w:p w14:paraId="63A4A255"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Parents and carer survey has been carried out to see what is important to look at</w:t>
      </w:r>
    </w:p>
    <w:p w14:paraId="3DF48E51"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A joint commissioner has been appointed to lead joint commissioning work</w:t>
      </w:r>
    </w:p>
    <w:p w14:paraId="6A04816E"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A draft Joint Strategic Needs Assessment has been completed</w:t>
      </w:r>
    </w:p>
    <w:p w14:paraId="49E64827" w14:textId="77777777" w:rsidR="00A16788" w:rsidRPr="00DC7A85" w:rsidRDefault="00A16788" w:rsidP="001100CC">
      <w:pPr>
        <w:pStyle w:val="ListParagraph"/>
        <w:ind w:left="1080"/>
        <w:rPr>
          <w:rFonts w:cstheme="minorHAnsi"/>
          <w:sz w:val="28"/>
          <w:szCs w:val="28"/>
        </w:rPr>
      </w:pPr>
    </w:p>
    <w:p w14:paraId="226AEF4A" w14:textId="77777777" w:rsidR="00A16788" w:rsidRPr="00DC7A85" w:rsidRDefault="00A16788" w:rsidP="001100CC">
      <w:pPr>
        <w:pStyle w:val="ListParagraph"/>
        <w:numPr>
          <w:ilvl w:val="0"/>
          <w:numId w:val="2"/>
        </w:numPr>
        <w:spacing w:after="200" w:line="276" w:lineRule="auto"/>
        <w:ind w:left="360"/>
        <w:rPr>
          <w:rFonts w:cstheme="minorHAnsi"/>
          <w:b/>
          <w:bCs/>
          <w:sz w:val="28"/>
          <w:szCs w:val="28"/>
        </w:rPr>
      </w:pPr>
      <w:r w:rsidRPr="00DC7A85">
        <w:rPr>
          <w:rFonts w:cstheme="minorHAnsi"/>
          <w:b/>
          <w:bCs/>
          <w:sz w:val="28"/>
          <w:szCs w:val="28"/>
        </w:rPr>
        <w:t>Workstream 2: EHCP’s and Annual Reviews</w:t>
      </w:r>
    </w:p>
    <w:p w14:paraId="7B6AABAB"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 xml:space="preserve">EHCP compliance checklist and quality standards have been produced </w:t>
      </w:r>
    </w:p>
    <w:p w14:paraId="4648AB64"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Sub-groups and communication arrangements with SEND managers in place</w:t>
      </w:r>
    </w:p>
    <w:p w14:paraId="6CE4074C" w14:textId="77777777" w:rsidR="00A16788" w:rsidRPr="00DC7A85" w:rsidRDefault="00A16788" w:rsidP="001100CC">
      <w:pPr>
        <w:pStyle w:val="ListParagraph"/>
        <w:numPr>
          <w:ilvl w:val="0"/>
          <w:numId w:val="2"/>
        </w:numPr>
        <w:spacing w:after="200" w:line="276" w:lineRule="auto"/>
        <w:ind w:left="360"/>
        <w:rPr>
          <w:rFonts w:cstheme="minorHAnsi"/>
          <w:b/>
          <w:bCs/>
          <w:sz w:val="28"/>
          <w:szCs w:val="28"/>
        </w:rPr>
      </w:pPr>
      <w:r w:rsidRPr="00DC7A85">
        <w:rPr>
          <w:rFonts w:cstheme="minorHAnsi"/>
          <w:b/>
          <w:bCs/>
          <w:sz w:val="28"/>
          <w:szCs w:val="28"/>
        </w:rPr>
        <w:t>Workstream 3: Co-production, relationships and communication</w:t>
      </w:r>
    </w:p>
    <w:p w14:paraId="02F8E500"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Parent Carer Participation Wirral (PCPW) have been identified as members of the Transformation Board</w:t>
      </w:r>
    </w:p>
    <w:p w14:paraId="2175E42E"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Increased face-to-face and online engagement with parents/carers of Wirral’s SEND children</w:t>
      </w:r>
    </w:p>
    <w:p w14:paraId="42BF6E83" w14:textId="77777777" w:rsidR="00A16788" w:rsidRPr="00DC7A85" w:rsidRDefault="00A16788" w:rsidP="001100CC">
      <w:pPr>
        <w:pStyle w:val="ListParagraph"/>
        <w:ind w:left="1080"/>
        <w:rPr>
          <w:rFonts w:cstheme="minorHAnsi"/>
          <w:sz w:val="28"/>
          <w:szCs w:val="28"/>
        </w:rPr>
      </w:pPr>
    </w:p>
    <w:p w14:paraId="44FF721A" w14:textId="77777777" w:rsidR="00A16788" w:rsidRPr="00DC7A85" w:rsidRDefault="00A16788" w:rsidP="001100CC">
      <w:pPr>
        <w:pStyle w:val="ListParagraph"/>
        <w:numPr>
          <w:ilvl w:val="0"/>
          <w:numId w:val="2"/>
        </w:numPr>
        <w:spacing w:after="200" w:line="276" w:lineRule="auto"/>
        <w:ind w:left="360"/>
        <w:rPr>
          <w:rFonts w:cstheme="minorHAnsi"/>
          <w:b/>
          <w:bCs/>
          <w:sz w:val="28"/>
          <w:szCs w:val="28"/>
        </w:rPr>
      </w:pPr>
      <w:r w:rsidRPr="00DC7A85">
        <w:rPr>
          <w:rFonts w:cstheme="minorHAnsi"/>
          <w:b/>
          <w:bCs/>
          <w:sz w:val="28"/>
          <w:szCs w:val="28"/>
        </w:rPr>
        <w:t>Workstream 4: Inclusive Practices</w:t>
      </w:r>
    </w:p>
    <w:p w14:paraId="16C93979"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A new early intervention team has been established to support universal offer in schools and to help with early support for children and young people</w:t>
      </w:r>
    </w:p>
    <w:p w14:paraId="40AE8B42"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Engagement has taken place with headteachers and SENCOs to better understand training needs</w:t>
      </w:r>
    </w:p>
    <w:p w14:paraId="03213494" w14:textId="77777777" w:rsidR="00A16788" w:rsidRPr="00DC7A85" w:rsidRDefault="00A16788" w:rsidP="001100CC">
      <w:pPr>
        <w:pStyle w:val="ListParagraph"/>
        <w:ind w:left="1080"/>
        <w:rPr>
          <w:rFonts w:cstheme="minorHAnsi"/>
          <w:sz w:val="28"/>
          <w:szCs w:val="28"/>
        </w:rPr>
      </w:pPr>
    </w:p>
    <w:p w14:paraId="2BEABDD3" w14:textId="77777777" w:rsidR="00A16788" w:rsidRPr="00DC7A85" w:rsidRDefault="00A16788" w:rsidP="001100CC">
      <w:pPr>
        <w:pStyle w:val="ListParagraph"/>
        <w:numPr>
          <w:ilvl w:val="0"/>
          <w:numId w:val="2"/>
        </w:numPr>
        <w:spacing w:after="200" w:line="276" w:lineRule="auto"/>
        <w:ind w:left="360"/>
        <w:rPr>
          <w:rFonts w:cstheme="minorHAnsi"/>
          <w:b/>
          <w:bCs/>
          <w:sz w:val="28"/>
          <w:szCs w:val="28"/>
        </w:rPr>
      </w:pPr>
      <w:r w:rsidRPr="00DC7A85">
        <w:rPr>
          <w:rFonts w:cstheme="minorHAnsi"/>
          <w:b/>
          <w:bCs/>
          <w:sz w:val="28"/>
          <w:szCs w:val="28"/>
        </w:rPr>
        <w:t>Workstream 5: Local provision and strategic oversight</w:t>
      </w:r>
    </w:p>
    <w:p w14:paraId="67811A00"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An internal review has commenced to understand detailed information about 20 complaints and why they have been made.</w:t>
      </w:r>
    </w:p>
    <w:p w14:paraId="5ECF5461" w14:textId="77777777" w:rsidR="00A16788" w:rsidRPr="00DC7A85" w:rsidRDefault="00A16788" w:rsidP="001100CC">
      <w:pPr>
        <w:pStyle w:val="ListParagraph"/>
        <w:numPr>
          <w:ilvl w:val="1"/>
          <w:numId w:val="2"/>
        </w:numPr>
        <w:spacing w:after="200" w:line="276" w:lineRule="auto"/>
        <w:ind w:left="1080"/>
        <w:rPr>
          <w:rFonts w:cstheme="minorHAnsi"/>
          <w:sz w:val="28"/>
          <w:szCs w:val="28"/>
        </w:rPr>
      </w:pPr>
      <w:r w:rsidRPr="00DC7A85">
        <w:rPr>
          <w:rFonts w:cstheme="minorHAnsi"/>
          <w:sz w:val="28"/>
          <w:szCs w:val="28"/>
        </w:rPr>
        <w:t>Four new inclusion bases have been commissioned – these will have performance indicators and be monitored to ensure quality practice</w:t>
      </w:r>
    </w:p>
    <w:p w14:paraId="52E4FA09" w14:textId="77777777" w:rsidR="00A16788" w:rsidRPr="00DC7A85" w:rsidRDefault="00A16788" w:rsidP="00A16788">
      <w:pPr>
        <w:pStyle w:val="ListParagraph"/>
        <w:ind w:left="1440"/>
        <w:rPr>
          <w:rFonts w:cstheme="minorHAnsi"/>
          <w:sz w:val="28"/>
          <w:szCs w:val="28"/>
        </w:rPr>
      </w:pPr>
    </w:p>
    <w:p w14:paraId="3558FB38" w14:textId="77777777" w:rsidR="00A16788" w:rsidRPr="00DC7A85" w:rsidRDefault="00A16788" w:rsidP="00A16788">
      <w:pPr>
        <w:pStyle w:val="ListParagraph"/>
        <w:numPr>
          <w:ilvl w:val="0"/>
          <w:numId w:val="2"/>
        </w:numPr>
        <w:spacing w:after="200" w:line="276" w:lineRule="auto"/>
        <w:rPr>
          <w:rFonts w:cstheme="minorHAnsi"/>
          <w:b/>
          <w:bCs/>
          <w:sz w:val="28"/>
          <w:szCs w:val="28"/>
        </w:rPr>
      </w:pPr>
      <w:r w:rsidRPr="00DC7A85">
        <w:rPr>
          <w:rFonts w:cstheme="minorHAnsi"/>
          <w:b/>
          <w:bCs/>
          <w:sz w:val="28"/>
          <w:szCs w:val="28"/>
        </w:rPr>
        <w:t>Workstream 6: Local Offer</w:t>
      </w:r>
    </w:p>
    <w:p w14:paraId="31AA65EA" w14:textId="77777777" w:rsidR="00A16788" w:rsidRPr="00DC7A85" w:rsidRDefault="00A16788" w:rsidP="00A16788">
      <w:pPr>
        <w:pStyle w:val="ListParagraph"/>
        <w:numPr>
          <w:ilvl w:val="1"/>
          <w:numId w:val="2"/>
        </w:numPr>
        <w:spacing w:after="200" w:line="276" w:lineRule="auto"/>
        <w:rPr>
          <w:rFonts w:cstheme="minorHAnsi"/>
          <w:sz w:val="28"/>
          <w:szCs w:val="28"/>
        </w:rPr>
      </w:pPr>
      <w:r w:rsidRPr="00DC7A85">
        <w:rPr>
          <w:rFonts w:eastAsiaTheme="minorEastAsia" w:cstheme="minorHAnsi"/>
          <w:sz w:val="28"/>
          <w:szCs w:val="28"/>
        </w:rPr>
        <w:t>Research of other local offer sites has commenced</w:t>
      </w:r>
    </w:p>
    <w:p w14:paraId="7114A24A" w14:textId="205B74D6" w:rsidR="00A16788" w:rsidRPr="00DC7A85" w:rsidRDefault="00A16788" w:rsidP="00A16788">
      <w:pPr>
        <w:pStyle w:val="ListParagraph"/>
        <w:numPr>
          <w:ilvl w:val="1"/>
          <w:numId w:val="2"/>
        </w:numPr>
        <w:spacing w:after="200" w:line="276" w:lineRule="auto"/>
        <w:rPr>
          <w:rFonts w:cstheme="minorHAnsi"/>
          <w:sz w:val="28"/>
          <w:szCs w:val="28"/>
        </w:rPr>
      </w:pPr>
      <w:r w:rsidRPr="00DC7A85">
        <w:rPr>
          <w:rFonts w:cstheme="minorHAnsi"/>
          <w:sz w:val="28"/>
          <w:szCs w:val="28"/>
        </w:rPr>
        <w:t>Members for working group identified and meeting arrange</w:t>
      </w:r>
      <w:r w:rsidR="001100CC" w:rsidRPr="00DC7A85">
        <w:rPr>
          <w:rFonts w:cstheme="minorHAnsi"/>
          <w:sz w:val="28"/>
          <w:szCs w:val="28"/>
        </w:rPr>
        <w:t>d</w:t>
      </w:r>
    </w:p>
    <w:p w14:paraId="170B1C7F" w14:textId="4F08DB4D" w:rsidR="00CF18AD" w:rsidRPr="00DC7A85" w:rsidRDefault="001100CC">
      <w:pPr>
        <w:rPr>
          <w:rFonts w:asciiTheme="majorHAnsi" w:hAnsiTheme="majorHAnsi" w:cstheme="majorHAnsi"/>
          <w:b/>
          <w:bCs/>
          <w:color w:val="FFC000" w:themeColor="accent4"/>
          <w:sz w:val="32"/>
          <w:szCs w:val="32"/>
        </w:rPr>
      </w:pPr>
      <w:r w:rsidRPr="00DC7A85">
        <w:rPr>
          <w:rFonts w:asciiTheme="majorHAnsi" w:hAnsiTheme="majorHAnsi" w:cstheme="majorHAnsi"/>
          <w:b/>
          <w:bCs/>
          <w:color w:val="FFC000" w:themeColor="accent4"/>
          <w:sz w:val="32"/>
          <w:szCs w:val="32"/>
        </w:rPr>
        <w:t>6.</w:t>
      </w:r>
      <w:r w:rsidRPr="00DC7A85">
        <w:rPr>
          <w:rFonts w:asciiTheme="majorHAnsi" w:hAnsiTheme="majorHAnsi" w:cstheme="majorHAnsi"/>
          <w:b/>
          <w:bCs/>
          <w:color w:val="FFC000" w:themeColor="accent4"/>
          <w:sz w:val="32"/>
          <w:szCs w:val="32"/>
        </w:rPr>
        <w:tab/>
        <w:t>Next steps</w:t>
      </w:r>
    </w:p>
    <w:p w14:paraId="21D1FCDB" w14:textId="7F4D6944" w:rsidR="001100CC" w:rsidRPr="003954C1" w:rsidRDefault="003954C1">
      <w:pPr>
        <w:rPr>
          <w:sz w:val="28"/>
          <w:szCs w:val="28"/>
        </w:rPr>
      </w:pPr>
      <w:r w:rsidRPr="003954C1">
        <w:rPr>
          <w:sz w:val="28"/>
          <w:szCs w:val="28"/>
        </w:rPr>
        <w:t xml:space="preserve">Work will continue to address the actions identified and evidence improved progress. </w:t>
      </w:r>
    </w:p>
    <w:p w14:paraId="55FB2F89" w14:textId="28740190" w:rsidR="001100CC" w:rsidRDefault="003954C1">
      <w:pPr>
        <w:rPr>
          <w:sz w:val="28"/>
          <w:szCs w:val="28"/>
        </w:rPr>
      </w:pPr>
      <w:r w:rsidRPr="003954C1">
        <w:rPr>
          <w:sz w:val="28"/>
          <w:szCs w:val="28"/>
        </w:rPr>
        <w:t xml:space="preserve">The Department for Education and Care Quality Commission will meet with health, education and local authority partners </w:t>
      </w:r>
      <w:r>
        <w:rPr>
          <w:sz w:val="28"/>
          <w:szCs w:val="28"/>
        </w:rPr>
        <w:t>in July to discuss progress.</w:t>
      </w:r>
    </w:p>
    <w:p w14:paraId="3E28A413" w14:textId="638AC110" w:rsidR="003954C1" w:rsidRPr="003954C1" w:rsidRDefault="003954C1">
      <w:pPr>
        <w:rPr>
          <w:sz w:val="28"/>
          <w:szCs w:val="28"/>
        </w:rPr>
      </w:pPr>
      <w:r>
        <w:rPr>
          <w:sz w:val="28"/>
          <w:szCs w:val="28"/>
        </w:rPr>
        <w:t xml:space="preserve">A further briefing will be produced at this time to update stakeholders on progress. </w:t>
      </w:r>
    </w:p>
    <w:p w14:paraId="5B08AD21" w14:textId="76E6B2FC" w:rsidR="003954C1" w:rsidRDefault="003954C1"/>
    <w:p w14:paraId="0B6D7240" w14:textId="0A046C2B" w:rsidR="003954C1" w:rsidRDefault="003954C1"/>
    <w:sectPr w:rsidR="003954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1DA9" w14:textId="77777777" w:rsidR="00C23DDC" w:rsidRDefault="00C23DDC" w:rsidP="003954C1">
      <w:pPr>
        <w:spacing w:after="0" w:line="240" w:lineRule="auto"/>
      </w:pPr>
      <w:r>
        <w:separator/>
      </w:r>
    </w:p>
  </w:endnote>
  <w:endnote w:type="continuationSeparator" w:id="0">
    <w:p w14:paraId="16B0BAB8" w14:textId="77777777" w:rsidR="00C23DDC" w:rsidRDefault="00C23DDC" w:rsidP="0039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A407" w14:textId="4584CB1C" w:rsidR="003954C1" w:rsidRDefault="003954C1">
    <w:pPr>
      <w:pStyle w:val="Footer"/>
    </w:pPr>
    <w:r>
      <w:rPr>
        <w:noProof/>
      </w:rPr>
      <w:drawing>
        <wp:anchor distT="0" distB="0" distL="114300" distR="114300" simplePos="0" relativeHeight="251658240" behindDoc="0" locked="0" layoutInCell="1" allowOverlap="1" wp14:anchorId="240C3409" wp14:editId="01144B9D">
          <wp:simplePos x="0" y="0"/>
          <wp:positionH relativeFrom="margin">
            <wp:posOffset>894080</wp:posOffset>
          </wp:positionH>
          <wp:positionV relativeFrom="paragraph">
            <wp:posOffset>-118110</wp:posOffset>
          </wp:positionV>
          <wp:extent cx="3924300" cy="586515"/>
          <wp:effectExtent l="0" t="0" r="0" b="4445"/>
          <wp:wrapThrough wrapText="bothSides">
            <wp:wrapPolygon edited="0">
              <wp:start x="0" y="0"/>
              <wp:lineTo x="0" y="21062"/>
              <wp:lineTo x="21495" y="21062"/>
              <wp:lineTo x="21495" y="0"/>
              <wp:lineTo x="0" y="0"/>
            </wp:wrapPolygon>
          </wp:wrapThrough>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5865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966A" w14:textId="77777777" w:rsidR="00C23DDC" w:rsidRDefault="00C23DDC" w:rsidP="003954C1">
      <w:pPr>
        <w:spacing w:after="0" w:line="240" w:lineRule="auto"/>
      </w:pPr>
      <w:r>
        <w:separator/>
      </w:r>
    </w:p>
  </w:footnote>
  <w:footnote w:type="continuationSeparator" w:id="0">
    <w:p w14:paraId="04B28191" w14:textId="77777777" w:rsidR="00C23DDC" w:rsidRDefault="00C23DDC" w:rsidP="00395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5137"/>
    <w:multiLevelType w:val="hybridMultilevel"/>
    <w:tmpl w:val="50EA874C"/>
    <w:lvl w:ilvl="0" w:tplc="9F3E7BC8">
      <w:start w:val="1"/>
      <w:numFmt w:val="decimal"/>
      <w:lvlText w:val="%1.0"/>
      <w:lvlJc w:val="left"/>
      <w:pPr>
        <w:ind w:left="720" w:hanging="360"/>
      </w:pPr>
      <w:rPr>
        <w:b/>
      </w:rPr>
    </w:lvl>
    <w:lvl w:ilvl="1" w:tplc="163A2E1E">
      <w:start w:val="1"/>
      <w:numFmt w:val="lowerLetter"/>
      <w:lvlText w:val="%2."/>
      <w:lvlJc w:val="left"/>
      <w:pPr>
        <w:ind w:left="1440" w:hanging="360"/>
      </w:pPr>
    </w:lvl>
    <w:lvl w:ilvl="2" w:tplc="860E6782">
      <w:start w:val="1"/>
      <w:numFmt w:val="lowerRoman"/>
      <w:lvlText w:val="%3."/>
      <w:lvlJc w:val="right"/>
      <w:pPr>
        <w:ind w:left="2160" w:hanging="180"/>
      </w:pPr>
    </w:lvl>
    <w:lvl w:ilvl="3" w:tplc="53E4D7EA">
      <w:start w:val="1"/>
      <w:numFmt w:val="decimal"/>
      <w:lvlText w:val="%4."/>
      <w:lvlJc w:val="left"/>
      <w:pPr>
        <w:ind w:left="2880" w:hanging="360"/>
      </w:pPr>
    </w:lvl>
    <w:lvl w:ilvl="4" w:tplc="A7E8E2F4">
      <w:start w:val="1"/>
      <w:numFmt w:val="lowerLetter"/>
      <w:lvlText w:val="%5."/>
      <w:lvlJc w:val="left"/>
      <w:pPr>
        <w:ind w:left="3600" w:hanging="360"/>
      </w:pPr>
    </w:lvl>
    <w:lvl w:ilvl="5" w:tplc="45541988">
      <w:start w:val="1"/>
      <w:numFmt w:val="lowerRoman"/>
      <w:lvlText w:val="%6."/>
      <w:lvlJc w:val="right"/>
      <w:pPr>
        <w:ind w:left="4320" w:hanging="180"/>
      </w:pPr>
    </w:lvl>
    <w:lvl w:ilvl="6" w:tplc="E2462D10">
      <w:start w:val="1"/>
      <w:numFmt w:val="decimal"/>
      <w:lvlText w:val="%7."/>
      <w:lvlJc w:val="left"/>
      <w:pPr>
        <w:ind w:left="5040" w:hanging="360"/>
      </w:pPr>
    </w:lvl>
    <w:lvl w:ilvl="7" w:tplc="0B16C5A4">
      <w:start w:val="1"/>
      <w:numFmt w:val="lowerLetter"/>
      <w:lvlText w:val="%8."/>
      <w:lvlJc w:val="left"/>
      <w:pPr>
        <w:ind w:left="5760" w:hanging="360"/>
      </w:pPr>
    </w:lvl>
    <w:lvl w:ilvl="8" w:tplc="C99C173E">
      <w:start w:val="1"/>
      <w:numFmt w:val="lowerRoman"/>
      <w:lvlText w:val="%9."/>
      <w:lvlJc w:val="right"/>
      <w:pPr>
        <w:ind w:left="6480" w:hanging="180"/>
      </w:pPr>
    </w:lvl>
  </w:abstractNum>
  <w:abstractNum w:abstractNumId="1" w15:restartNumberingAfterBreak="0">
    <w:nsid w:val="4EA852CF"/>
    <w:multiLevelType w:val="hybridMultilevel"/>
    <w:tmpl w:val="9586C398"/>
    <w:lvl w:ilvl="0" w:tplc="6C6A7F7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A2D60"/>
    <w:multiLevelType w:val="hybridMultilevel"/>
    <w:tmpl w:val="08309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137599">
    <w:abstractNumId w:val="2"/>
  </w:num>
  <w:num w:numId="2" w16cid:durableId="329261341">
    <w:abstractNumId w:val="1"/>
  </w:num>
  <w:num w:numId="3" w16cid:durableId="1611623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AD"/>
    <w:rsid w:val="000077E9"/>
    <w:rsid w:val="001100CC"/>
    <w:rsid w:val="003954C1"/>
    <w:rsid w:val="00590669"/>
    <w:rsid w:val="005F3B2F"/>
    <w:rsid w:val="00A05E6F"/>
    <w:rsid w:val="00A16788"/>
    <w:rsid w:val="00A379EB"/>
    <w:rsid w:val="00A87AB4"/>
    <w:rsid w:val="00B80D5D"/>
    <w:rsid w:val="00C23DDC"/>
    <w:rsid w:val="00CF18AD"/>
    <w:rsid w:val="00DC7A85"/>
    <w:rsid w:val="00F047FB"/>
    <w:rsid w:val="00F551FA"/>
    <w:rsid w:val="00FA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B10C"/>
  <w15:chartTrackingRefBased/>
  <w15:docId w15:val="{AA2A9A2B-FA3A-478E-8ABC-70B5DFD0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8AD"/>
    <w:pPr>
      <w:ind w:left="720"/>
      <w:contextualSpacing/>
    </w:pPr>
  </w:style>
  <w:style w:type="paragraph" w:styleId="Header">
    <w:name w:val="header"/>
    <w:basedOn w:val="Normal"/>
    <w:link w:val="HeaderChar"/>
    <w:uiPriority w:val="99"/>
    <w:unhideWhenUsed/>
    <w:rsid w:val="00395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4C1"/>
  </w:style>
  <w:style w:type="paragraph" w:styleId="Footer">
    <w:name w:val="footer"/>
    <w:basedOn w:val="Normal"/>
    <w:link w:val="FooterChar"/>
    <w:uiPriority w:val="99"/>
    <w:unhideWhenUsed/>
    <w:rsid w:val="00395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Hannah</dc:creator>
  <cp:keywords/>
  <dc:description/>
  <cp:lastModifiedBy>Tittle, Sally J.</cp:lastModifiedBy>
  <cp:revision>2</cp:revision>
  <dcterms:created xsi:type="dcterms:W3CDTF">2022-05-23T19:06:00Z</dcterms:created>
  <dcterms:modified xsi:type="dcterms:W3CDTF">2022-05-23T19:06:00Z</dcterms:modified>
</cp:coreProperties>
</file>