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890A" w14:textId="5F4A9387" w:rsidR="00A27194" w:rsidRDefault="00865524" w:rsidP="00A27194">
      <w:pPr>
        <w:pStyle w:val="Default"/>
        <w:rPr>
          <w:b/>
          <w:bCs/>
          <w:sz w:val="23"/>
          <w:szCs w:val="23"/>
        </w:rPr>
      </w:pPr>
      <w:r>
        <w:t xml:space="preserve">                                 </w:t>
      </w:r>
      <w:r w:rsidR="00A27194">
        <w:t xml:space="preserve"> </w:t>
      </w:r>
      <w:r w:rsidR="00A27194">
        <w:rPr>
          <w:b/>
          <w:bCs/>
          <w:sz w:val="23"/>
          <w:szCs w:val="23"/>
        </w:rPr>
        <w:t xml:space="preserve">SurveyMonkey Questions for LA at KIT on 22/01/21 </w:t>
      </w:r>
    </w:p>
    <w:p w14:paraId="466145AC" w14:textId="77777777" w:rsidR="00A27194" w:rsidRDefault="00A27194" w:rsidP="00A27194">
      <w:pPr>
        <w:pStyle w:val="Default"/>
        <w:rPr>
          <w:sz w:val="23"/>
          <w:szCs w:val="23"/>
        </w:rPr>
      </w:pPr>
    </w:p>
    <w:p w14:paraId="5C9F27C3" w14:textId="1BBE99BA" w:rsidR="00A27194" w:rsidRDefault="00A27194" w:rsidP="00A27194">
      <w:pPr>
        <w:pStyle w:val="Default"/>
        <w:numPr>
          <w:ilvl w:val="0"/>
          <w:numId w:val="1"/>
        </w:numPr>
        <w:rPr>
          <w:sz w:val="23"/>
          <w:szCs w:val="23"/>
        </w:rPr>
      </w:pPr>
      <w:r>
        <w:rPr>
          <w:sz w:val="23"/>
          <w:szCs w:val="23"/>
        </w:rPr>
        <w:t xml:space="preserve">When a young person moves into adult social care from children’s services are they allocated a named social worker? If not, when was this policy changed and why? </w:t>
      </w:r>
    </w:p>
    <w:p w14:paraId="3F2C261A" w14:textId="0D81648C" w:rsidR="00A27194" w:rsidRPr="00AA249E" w:rsidRDefault="00A27194" w:rsidP="00A27194">
      <w:pPr>
        <w:pStyle w:val="Default"/>
        <w:ind w:left="360"/>
        <w:rPr>
          <w:color w:val="2F5496" w:themeColor="accent1" w:themeShade="BF"/>
          <w:sz w:val="23"/>
          <w:szCs w:val="23"/>
        </w:rPr>
      </w:pPr>
      <w:r w:rsidRPr="00AA249E">
        <w:rPr>
          <w:color w:val="2F5496" w:themeColor="accent1" w:themeShade="BF"/>
          <w:sz w:val="23"/>
          <w:szCs w:val="23"/>
        </w:rPr>
        <w:t>In the community trust</w:t>
      </w:r>
      <w:r w:rsidR="00C86991">
        <w:rPr>
          <w:color w:val="2F5496" w:themeColor="accent1" w:themeShade="BF"/>
          <w:sz w:val="23"/>
          <w:szCs w:val="23"/>
        </w:rPr>
        <w:t>,</w:t>
      </w:r>
      <w:r w:rsidRPr="00AA249E">
        <w:rPr>
          <w:color w:val="2F5496" w:themeColor="accent1" w:themeShade="BF"/>
          <w:sz w:val="23"/>
          <w:szCs w:val="23"/>
        </w:rPr>
        <w:t xml:space="preserve"> the case should be allocated to a named worker for the transition period, I am aware of a few exception</w:t>
      </w:r>
      <w:r w:rsidR="00FC7725">
        <w:rPr>
          <w:color w:val="2F5496" w:themeColor="accent1" w:themeShade="BF"/>
          <w:sz w:val="23"/>
          <w:szCs w:val="23"/>
        </w:rPr>
        <w:t>s</w:t>
      </w:r>
      <w:r w:rsidRPr="00AA249E">
        <w:rPr>
          <w:color w:val="2F5496" w:themeColor="accent1" w:themeShade="BF"/>
          <w:sz w:val="23"/>
          <w:szCs w:val="23"/>
        </w:rPr>
        <w:t xml:space="preserve"> where the young person has not been eligible for support via social care, or the person refuses to accept social care involvement. We can</w:t>
      </w:r>
      <w:r w:rsidR="00C86991">
        <w:rPr>
          <w:color w:val="2F5496" w:themeColor="accent1" w:themeShade="BF"/>
          <w:sz w:val="23"/>
          <w:szCs w:val="23"/>
        </w:rPr>
        <w:t>’</w:t>
      </w:r>
      <w:r w:rsidRPr="00AA249E">
        <w:rPr>
          <w:color w:val="2F5496" w:themeColor="accent1" w:themeShade="BF"/>
          <w:sz w:val="23"/>
          <w:szCs w:val="23"/>
        </w:rPr>
        <w:t>t remain involved if the person does not consent to our involvement. But the majority of those young people who are transitioning to adult social care will have a named worker. If this is not the case, please can you alert me</w:t>
      </w:r>
      <w:r w:rsidR="00C86991">
        <w:rPr>
          <w:color w:val="2F5496" w:themeColor="accent1" w:themeShade="BF"/>
          <w:sz w:val="23"/>
          <w:szCs w:val="23"/>
        </w:rPr>
        <w:t>?</w:t>
      </w:r>
    </w:p>
    <w:p w14:paraId="5973F770" w14:textId="77777777" w:rsidR="00A27194" w:rsidRDefault="00A27194" w:rsidP="00A27194">
      <w:pPr>
        <w:pStyle w:val="Default"/>
        <w:ind w:left="360"/>
        <w:rPr>
          <w:sz w:val="23"/>
          <w:szCs w:val="23"/>
        </w:rPr>
      </w:pPr>
    </w:p>
    <w:p w14:paraId="60C54997" w14:textId="77777777" w:rsidR="00A27194" w:rsidRDefault="00A27194" w:rsidP="00A27194">
      <w:pPr>
        <w:pStyle w:val="Default"/>
        <w:rPr>
          <w:sz w:val="23"/>
          <w:szCs w:val="23"/>
        </w:rPr>
      </w:pPr>
    </w:p>
    <w:p w14:paraId="0BA51953" w14:textId="10B4DC5A" w:rsidR="00A27194" w:rsidRDefault="00A27194" w:rsidP="00A27194">
      <w:pPr>
        <w:pStyle w:val="Default"/>
        <w:numPr>
          <w:ilvl w:val="0"/>
          <w:numId w:val="1"/>
        </w:numPr>
        <w:rPr>
          <w:sz w:val="23"/>
          <w:szCs w:val="23"/>
        </w:rPr>
      </w:pPr>
      <w:r>
        <w:rPr>
          <w:sz w:val="23"/>
          <w:szCs w:val="23"/>
        </w:rPr>
        <w:t xml:space="preserve">Can direct payments be used to buy goods? Is this a new policy and when did it change? </w:t>
      </w:r>
    </w:p>
    <w:p w14:paraId="25F6F758" w14:textId="1611D2DC" w:rsidR="00A27194" w:rsidRPr="00AA249E" w:rsidRDefault="00A27194" w:rsidP="00A27194">
      <w:pPr>
        <w:pStyle w:val="Default"/>
        <w:ind w:left="360"/>
        <w:rPr>
          <w:color w:val="2F5496" w:themeColor="accent1" w:themeShade="BF"/>
          <w:sz w:val="23"/>
          <w:szCs w:val="23"/>
        </w:rPr>
      </w:pPr>
      <w:r w:rsidRPr="00AA249E">
        <w:rPr>
          <w:color w:val="2F5496" w:themeColor="accent1" w:themeShade="BF"/>
          <w:sz w:val="23"/>
          <w:szCs w:val="23"/>
        </w:rPr>
        <w:t xml:space="preserve">This is not an easy yes or no, the direct payment can be used to buy goods in some circumstances, but it must relate to </w:t>
      </w:r>
      <w:r w:rsidR="00C86991">
        <w:rPr>
          <w:color w:val="2F5496" w:themeColor="accent1" w:themeShade="BF"/>
          <w:sz w:val="23"/>
          <w:szCs w:val="23"/>
        </w:rPr>
        <w:t>C</w:t>
      </w:r>
      <w:r w:rsidRPr="00AA249E">
        <w:rPr>
          <w:color w:val="2F5496" w:themeColor="accent1" w:themeShade="BF"/>
          <w:sz w:val="23"/>
          <w:szCs w:val="23"/>
        </w:rPr>
        <w:t xml:space="preserve">are </w:t>
      </w:r>
      <w:r w:rsidR="00C86991">
        <w:rPr>
          <w:color w:val="2F5496" w:themeColor="accent1" w:themeShade="BF"/>
          <w:sz w:val="23"/>
          <w:szCs w:val="23"/>
        </w:rPr>
        <w:t>A</w:t>
      </w:r>
      <w:r w:rsidR="00FC7725">
        <w:rPr>
          <w:color w:val="2F5496" w:themeColor="accent1" w:themeShade="BF"/>
          <w:sz w:val="23"/>
          <w:szCs w:val="23"/>
        </w:rPr>
        <w:t>c</w:t>
      </w:r>
      <w:r w:rsidRPr="00AA249E">
        <w:rPr>
          <w:color w:val="2F5496" w:themeColor="accent1" w:themeShade="BF"/>
          <w:sz w:val="23"/>
          <w:szCs w:val="23"/>
        </w:rPr>
        <w:t>t needs an</w:t>
      </w:r>
      <w:r w:rsidR="00FC7725">
        <w:rPr>
          <w:color w:val="2F5496" w:themeColor="accent1" w:themeShade="BF"/>
          <w:sz w:val="23"/>
          <w:szCs w:val="23"/>
        </w:rPr>
        <w:t>d must</w:t>
      </w:r>
      <w:r w:rsidRPr="00AA249E">
        <w:rPr>
          <w:color w:val="2F5496" w:themeColor="accent1" w:themeShade="BF"/>
          <w:sz w:val="23"/>
          <w:szCs w:val="23"/>
        </w:rPr>
        <w:t xml:space="preserve"> be agreed</w:t>
      </w:r>
      <w:r w:rsidR="00C86991">
        <w:rPr>
          <w:color w:val="2F5496" w:themeColor="accent1" w:themeShade="BF"/>
          <w:sz w:val="23"/>
          <w:szCs w:val="23"/>
        </w:rPr>
        <w:t>.</w:t>
      </w:r>
      <w:r w:rsidRPr="00AA249E">
        <w:rPr>
          <w:color w:val="2F5496" w:themeColor="accent1" w:themeShade="BF"/>
          <w:sz w:val="23"/>
          <w:szCs w:val="23"/>
        </w:rPr>
        <w:t xml:space="preserve"> It cannot be used to purchase things like wheelchairs as these are funded and provided by wheelchair service. Direct payments also cannot be used to pay for clinical services or for treatment, </w:t>
      </w:r>
      <w:r w:rsidRPr="00865524">
        <w:rPr>
          <w:color w:val="2F5496" w:themeColor="accent1" w:themeShade="BF"/>
          <w:sz w:val="23"/>
          <w:szCs w:val="23"/>
        </w:rPr>
        <w:t xml:space="preserve">we </w:t>
      </w:r>
      <w:r w:rsidR="00865524" w:rsidRPr="00865524">
        <w:rPr>
          <w:color w:val="2F5496" w:themeColor="accent1" w:themeShade="BF"/>
          <w:sz w:val="23"/>
          <w:szCs w:val="23"/>
        </w:rPr>
        <w:t>receive</w:t>
      </w:r>
      <w:r w:rsidRPr="00865524">
        <w:rPr>
          <w:color w:val="2F5496" w:themeColor="accent1" w:themeShade="BF"/>
          <w:sz w:val="23"/>
          <w:szCs w:val="23"/>
        </w:rPr>
        <w:t xml:space="preserve"> regular requests from one provider </w:t>
      </w:r>
      <w:r w:rsidR="00865524" w:rsidRPr="00865524">
        <w:rPr>
          <w:color w:val="2F5496" w:themeColor="accent1" w:themeShade="BF"/>
          <w:sz w:val="23"/>
          <w:szCs w:val="23"/>
        </w:rPr>
        <w:t xml:space="preserve">re </w:t>
      </w:r>
      <w:r w:rsidRPr="00865524">
        <w:rPr>
          <w:color w:val="2F5496" w:themeColor="accent1" w:themeShade="BF"/>
          <w:sz w:val="23"/>
          <w:szCs w:val="23"/>
        </w:rPr>
        <w:t>DP fund therapy / counselling,</w:t>
      </w:r>
      <w:r w:rsidRPr="00AA249E">
        <w:rPr>
          <w:color w:val="2F5496" w:themeColor="accent1" w:themeShade="BF"/>
          <w:sz w:val="23"/>
          <w:szCs w:val="23"/>
        </w:rPr>
        <w:t xml:space="preserve"> this is not possible as these are treatments and must be health funded.</w:t>
      </w:r>
    </w:p>
    <w:p w14:paraId="57C9351B" w14:textId="6794CA70" w:rsidR="00A27194" w:rsidRDefault="00A27194" w:rsidP="00865524">
      <w:pPr>
        <w:pStyle w:val="Default"/>
        <w:ind w:left="720"/>
        <w:rPr>
          <w:sz w:val="23"/>
          <w:szCs w:val="23"/>
        </w:rPr>
      </w:pPr>
      <w:r>
        <w:rPr>
          <w:sz w:val="23"/>
          <w:szCs w:val="23"/>
        </w:rPr>
        <w:t xml:space="preserve"> </w:t>
      </w:r>
    </w:p>
    <w:p w14:paraId="5D07303D" w14:textId="650C3AFB" w:rsidR="00A27194" w:rsidRDefault="00A27194" w:rsidP="00A27194">
      <w:pPr>
        <w:pStyle w:val="Default"/>
        <w:numPr>
          <w:ilvl w:val="0"/>
          <w:numId w:val="1"/>
        </w:numPr>
        <w:rPr>
          <w:sz w:val="23"/>
          <w:szCs w:val="23"/>
        </w:rPr>
      </w:pPr>
      <w:r>
        <w:rPr>
          <w:sz w:val="23"/>
          <w:szCs w:val="23"/>
        </w:rPr>
        <w:t xml:space="preserve">What goods (as opposed to the services/support of a personal Assistant) can adults buy for their support needs? </w:t>
      </w:r>
    </w:p>
    <w:p w14:paraId="4FB28594" w14:textId="0DE40B06" w:rsidR="00A27194" w:rsidRPr="009D178D" w:rsidRDefault="00A27194" w:rsidP="00A27194">
      <w:pPr>
        <w:pStyle w:val="Default"/>
        <w:ind w:left="360"/>
        <w:rPr>
          <w:color w:val="2F5496" w:themeColor="accent1" w:themeShade="BF"/>
          <w:sz w:val="23"/>
          <w:szCs w:val="23"/>
        </w:rPr>
      </w:pPr>
      <w:r w:rsidRPr="009D178D">
        <w:rPr>
          <w:color w:val="2F5496" w:themeColor="accent1" w:themeShade="BF"/>
          <w:sz w:val="23"/>
          <w:szCs w:val="23"/>
        </w:rPr>
        <w:t xml:space="preserve">There is no </w:t>
      </w:r>
      <w:r w:rsidR="00C86991">
        <w:rPr>
          <w:color w:val="2F5496" w:themeColor="accent1" w:themeShade="BF"/>
          <w:sz w:val="23"/>
          <w:szCs w:val="23"/>
        </w:rPr>
        <w:t xml:space="preserve">set </w:t>
      </w:r>
      <w:r w:rsidRPr="009D178D">
        <w:rPr>
          <w:color w:val="2F5496" w:themeColor="accent1" w:themeShade="BF"/>
          <w:sz w:val="23"/>
          <w:szCs w:val="23"/>
        </w:rPr>
        <w:t>list, it would need discussing with the social worker and then would need to go through the usual authorisation process.</w:t>
      </w:r>
    </w:p>
    <w:p w14:paraId="3DB4340D" w14:textId="77777777" w:rsidR="00A27194" w:rsidRDefault="00A27194" w:rsidP="00A27194">
      <w:pPr>
        <w:pStyle w:val="Default"/>
        <w:ind w:left="360"/>
        <w:rPr>
          <w:sz w:val="23"/>
          <w:szCs w:val="23"/>
        </w:rPr>
      </w:pPr>
    </w:p>
    <w:p w14:paraId="5F096537" w14:textId="40A79C35" w:rsidR="00A27194" w:rsidRDefault="00A27194" w:rsidP="00D54507">
      <w:pPr>
        <w:pStyle w:val="Default"/>
        <w:numPr>
          <w:ilvl w:val="0"/>
          <w:numId w:val="1"/>
        </w:numPr>
        <w:rPr>
          <w:sz w:val="23"/>
          <w:szCs w:val="23"/>
        </w:rPr>
      </w:pPr>
      <w:r w:rsidRPr="00A27194">
        <w:rPr>
          <w:sz w:val="23"/>
          <w:szCs w:val="23"/>
        </w:rPr>
        <w:t xml:space="preserve">Do the commissioners for adult social care for young people between 16-25 receive feedback on the views for this group on the services they need and value? Who or what organisation provides the report? </w:t>
      </w:r>
    </w:p>
    <w:p w14:paraId="172C0562" w14:textId="35886055" w:rsidR="00D25239" w:rsidRPr="001D3E38" w:rsidRDefault="00D54507" w:rsidP="00D54507">
      <w:pPr>
        <w:pStyle w:val="Default"/>
        <w:ind w:left="360"/>
        <w:rPr>
          <w:color w:val="2F5496" w:themeColor="accent1" w:themeShade="BF"/>
          <w:sz w:val="23"/>
          <w:szCs w:val="23"/>
        </w:rPr>
      </w:pPr>
      <w:r w:rsidRPr="001D3E38">
        <w:rPr>
          <w:color w:val="2F5496" w:themeColor="accent1" w:themeShade="BF"/>
          <w:sz w:val="23"/>
          <w:szCs w:val="23"/>
        </w:rPr>
        <w:t xml:space="preserve">The </w:t>
      </w:r>
      <w:r w:rsidR="00C86991">
        <w:rPr>
          <w:color w:val="2F5496" w:themeColor="accent1" w:themeShade="BF"/>
          <w:sz w:val="23"/>
          <w:szCs w:val="23"/>
        </w:rPr>
        <w:t>C</w:t>
      </w:r>
      <w:r w:rsidRPr="001D3E38">
        <w:rPr>
          <w:color w:val="2F5496" w:themeColor="accent1" w:themeShade="BF"/>
          <w:sz w:val="23"/>
          <w:szCs w:val="23"/>
        </w:rPr>
        <w:t xml:space="preserve">ommunity </w:t>
      </w:r>
      <w:r w:rsidR="00C86991">
        <w:rPr>
          <w:color w:val="2F5496" w:themeColor="accent1" w:themeShade="BF"/>
          <w:sz w:val="23"/>
          <w:szCs w:val="23"/>
        </w:rPr>
        <w:t>T</w:t>
      </w:r>
      <w:r w:rsidRPr="001D3E38">
        <w:rPr>
          <w:color w:val="2F5496" w:themeColor="accent1" w:themeShade="BF"/>
          <w:sz w:val="23"/>
          <w:szCs w:val="23"/>
        </w:rPr>
        <w:t xml:space="preserve">rust </w:t>
      </w:r>
      <w:r w:rsidR="00D25239">
        <w:rPr>
          <w:color w:val="2F5496" w:themeColor="accent1" w:themeShade="BF"/>
          <w:sz w:val="23"/>
          <w:szCs w:val="23"/>
        </w:rPr>
        <w:t>seek</w:t>
      </w:r>
      <w:r w:rsidRPr="001D3E38">
        <w:rPr>
          <w:color w:val="2F5496" w:themeColor="accent1" w:themeShade="BF"/>
          <w:sz w:val="23"/>
          <w:szCs w:val="23"/>
        </w:rPr>
        <w:t xml:space="preserve"> feedback, and feedback forms </w:t>
      </w:r>
      <w:r w:rsidR="001D3E38" w:rsidRPr="001D3E38">
        <w:rPr>
          <w:color w:val="2F5496" w:themeColor="accent1" w:themeShade="BF"/>
          <w:sz w:val="23"/>
          <w:szCs w:val="23"/>
        </w:rPr>
        <w:t xml:space="preserve">are distributed to teams to pass out when involved with people. </w:t>
      </w:r>
      <w:r w:rsidR="00D25239">
        <w:rPr>
          <w:color w:val="2F5496" w:themeColor="accent1" w:themeShade="BF"/>
          <w:sz w:val="23"/>
          <w:szCs w:val="23"/>
        </w:rPr>
        <w:t xml:space="preserve">Other feedbacks channels are </w:t>
      </w:r>
      <w:r w:rsidR="001D3E38" w:rsidRPr="001D3E38">
        <w:rPr>
          <w:color w:val="2F5496" w:themeColor="accent1" w:themeShade="BF"/>
          <w:sz w:val="23"/>
          <w:szCs w:val="23"/>
        </w:rPr>
        <w:t xml:space="preserve">via the </w:t>
      </w:r>
      <w:r w:rsidR="00D25239">
        <w:rPr>
          <w:color w:val="2F5496" w:themeColor="accent1" w:themeShade="BF"/>
          <w:sz w:val="23"/>
          <w:szCs w:val="23"/>
        </w:rPr>
        <w:t>C</w:t>
      </w:r>
      <w:r w:rsidR="001D3E38" w:rsidRPr="001D3E38">
        <w:rPr>
          <w:color w:val="2F5496" w:themeColor="accent1" w:themeShade="BF"/>
          <w:sz w:val="23"/>
          <w:szCs w:val="23"/>
        </w:rPr>
        <w:t>ommunity Trusts 0-19 services</w:t>
      </w:r>
      <w:r w:rsidR="00D25239">
        <w:rPr>
          <w:color w:val="2F5496" w:themeColor="accent1" w:themeShade="BF"/>
          <w:sz w:val="23"/>
          <w:szCs w:val="23"/>
        </w:rPr>
        <w:t xml:space="preserve"> and </w:t>
      </w:r>
      <w:r w:rsidR="001D3E38" w:rsidRPr="001D3E38">
        <w:rPr>
          <w:color w:val="2F5496" w:themeColor="accent1" w:themeShade="BF"/>
          <w:sz w:val="23"/>
          <w:szCs w:val="23"/>
        </w:rPr>
        <w:t xml:space="preserve">from </w:t>
      </w:r>
      <w:r w:rsidR="00D25239">
        <w:rPr>
          <w:color w:val="2F5496" w:themeColor="accent1" w:themeShade="BF"/>
          <w:sz w:val="23"/>
          <w:szCs w:val="23"/>
        </w:rPr>
        <w:t>P</w:t>
      </w:r>
      <w:r w:rsidR="001D3E38" w:rsidRPr="001D3E38">
        <w:rPr>
          <w:color w:val="2F5496" w:themeColor="accent1" w:themeShade="BF"/>
          <w:sz w:val="23"/>
          <w:szCs w:val="23"/>
        </w:rPr>
        <w:t>artners.</w:t>
      </w:r>
      <w:r w:rsidR="001D3E38">
        <w:rPr>
          <w:color w:val="2F5496" w:themeColor="accent1" w:themeShade="BF"/>
          <w:sz w:val="23"/>
          <w:szCs w:val="23"/>
        </w:rPr>
        <w:t xml:space="preserve"> The </w:t>
      </w:r>
      <w:r w:rsidR="00D25239">
        <w:rPr>
          <w:color w:val="2F5496" w:themeColor="accent1" w:themeShade="BF"/>
          <w:sz w:val="23"/>
          <w:szCs w:val="23"/>
        </w:rPr>
        <w:t>C</w:t>
      </w:r>
      <w:r w:rsidR="001D3E38">
        <w:rPr>
          <w:color w:val="2F5496" w:themeColor="accent1" w:themeShade="BF"/>
          <w:sz w:val="23"/>
          <w:szCs w:val="23"/>
        </w:rPr>
        <w:t>ouncil also seeks views from users and these are then provided to the Trust.</w:t>
      </w:r>
      <w:r w:rsidR="00D25239">
        <w:rPr>
          <w:color w:val="2F5496" w:themeColor="accent1" w:themeShade="BF"/>
          <w:sz w:val="23"/>
          <w:szCs w:val="23"/>
        </w:rPr>
        <w:t xml:space="preserve"> </w:t>
      </w:r>
    </w:p>
    <w:p w14:paraId="067CC6E0" w14:textId="77777777" w:rsidR="00A27194" w:rsidRDefault="00A27194" w:rsidP="00A27194">
      <w:pPr>
        <w:pStyle w:val="Default"/>
        <w:rPr>
          <w:sz w:val="23"/>
          <w:szCs w:val="23"/>
        </w:rPr>
      </w:pPr>
    </w:p>
    <w:p w14:paraId="7BE63552" w14:textId="5A042416" w:rsidR="00A27194" w:rsidRDefault="00A27194" w:rsidP="00D54507">
      <w:pPr>
        <w:pStyle w:val="Default"/>
        <w:numPr>
          <w:ilvl w:val="0"/>
          <w:numId w:val="1"/>
        </w:numPr>
        <w:rPr>
          <w:sz w:val="23"/>
          <w:szCs w:val="23"/>
        </w:rPr>
      </w:pPr>
      <w:r>
        <w:rPr>
          <w:sz w:val="23"/>
          <w:szCs w:val="23"/>
        </w:rPr>
        <w:t xml:space="preserve">How does adult social care work in partnership with the independent advice service, Wirral SEND Partnership? </w:t>
      </w:r>
    </w:p>
    <w:p w14:paraId="5A1F2E99" w14:textId="3DE7111B" w:rsidR="00D25239" w:rsidRDefault="00D54507" w:rsidP="00D25239">
      <w:pPr>
        <w:pStyle w:val="Default"/>
        <w:ind w:left="360"/>
        <w:rPr>
          <w:color w:val="2F5496" w:themeColor="accent1" w:themeShade="BF"/>
          <w:sz w:val="23"/>
          <w:szCs w:val="23"/>
        </w:rPr>
      </w:pPr>
      <w:r w:rsidRPr="001D3E38">
        <w:rPr>
          <w:color w:val="2F5496" w:themeColor="accent1" w:themeShade="BF"/>
          <w:sz w:val="23"/>
          <w:szCs w:val="23"/>
        </w:rPr>
        <w:t xml:space="preserve">Adult social care </w:t>
      </w:r>
      <w:r w:rsidR="00D25239" w:rsidRPr="001D3E38">
        <w:rPr>
          <w:color w:val="2F5496" w:themeColor="accent1" w:themeShade="BF"/>
          <w:sz w:val="23"/>
          <w:szCs w:val="23"/>
        </w:rPr>
        <w:t>refers</w:t>
      </w:r>
      <w:r w:rsidRPr="001D3E38">
        <w:rPr>
          <w:color w:val="2F5496" w:themeColor="accent1" w:themeShade="BF"/>
          <w:sz w:val="23"/>
          <w:szCs w:val="23"/>
        </w:rPr>
        <w:t xml:space="preserve"> to advocacy in line with </w:t>
      </w:r>
      <w:r w:rsidR="001D3E38" w:rsidRPr="001D3E38">
        <w:rPr>
          <w:color w:val="2F5496" w:themeColor="accent1" w:themeShade="BF"/>
          <w:sz w:val="23"/>
          <w:szCs w:val="23"/>
        </w:rPr>
        <w:t>the</w:t>
      </w:r>
      <w:r w:rsidRPr="001D3E38">
        <w:rPr>
          <w:color w:val="2F5496" w:themeColor="accent1" w:themeShade="BF"/>
          <w:sz w:val="23"/>
          <w:szCs w:val="23"/>
        </w:rPr>
        <w:t xml:space="preserve"> council</w:t>
      </w:r>
      <w:r w:rsidR="00D25239">
        <w:rPr>
          <w:color w:val="2F5496" w:themeColor="accent1" w:themeShade="BF"/>
          <w:sz w:val="23"/>
          <w:szCs w:val="23"/>
        </w:rPr>
        <w:t>’</w:t>
      </w:r>
      <w:r w:rsidRPr="001D3E38">
        <w:rPr>
          <w:color w:val="2F5496" w:themeColor="accent1" w:themeShade="BF"/>
          <w:sz w:val="23"/>
          <w:szCs w:val="23"/>
        </w:rPr>
        <w:t>s</w:t>
      </w:r>
      <w:r w:rsidR="001D3E38" w:rsidRPr="001D3E38">
        <w:rPr>
          <w:color w:val="2F5496" w:themeColor="accent1" w:themeShade="BF"/>
          <w:sz w:val="23"/>
          <w:szCs w:val="23"/>
        </w:rPr>
        <w:t xml:space="preserve"> </w:t>
      </w:r>
      <w:r w:rsidRPr="001D3E38">
        <w:rPr>
          <w:color w:val="2F5496" w:themeColor="accent1" w:themeShade="BF"/>
          <w:sz w:val="23"/>
          <w:szCs w:val="23"/>
        </w:rPr>
        <w:t>cont</w:t>
      </w:r>
      <w:r w:rsidR="001D3E38" w:rsidRPr="001D3E38">
        <w:rPr>
          <w:color w:val="2F5496" w:themeColor="accent1" w:themeShade="BF"/>
          <w:sz w:val="23"/>
          <w:szCs w:val="23"/>
        </w:rPr>
        <w:t>r</w:t>
      </w:r>
      <w:r w:rsidRPr="001D3E38">
        <w:rPr>
          <w:color w:val="2F5496" w:themeColor="accent1" w:themeShade="BF"/>
          <w:sz w:val="23"/>
          <w:szCs w:val="23"/>
        </w:rPr>
        <w:t xml:space="preserve">act with N </w:t>
      </w:r>
      <w:r w:rsidR="00D25239">
        <w:rPr>
          <w:color w:val="2F5496" w:themeColor="accent1" w:themeShade="BF"/>
          <w:sz w:val="23"/>
          <w:szCs w:val="23"/>
        </w:rPr>
        <w:t>C</w:t>
      </w:r>
      <w:r w:rsidRPr="001D3E38">
        <w:rPr>
          <w:color w:val="2F5496" w:themeColor="accent1" w:themeShade="BF"/>
          <w:sz w:val="23"/>
          <w:szCs w:val="23"/>
        </w:rPr>
        <w:t xml:space="preserve">ompass. We </w:t>
      </w:r>
      <w:r w:rsidR="001D3E38" w:rsidRPr="001D3E38">
        <w:rPr>
          <w:color w:val="2F5496" w:themeColor="accent1" w:themeShade="BF"/>
          <w:sz w:val="23"/>
          <w:szCs w:val="23"/>
        </w:rPr>
        <w:t xml:space="preserve">also recommend people look at relevant SEN information sources </w:t>
      </w:r>
      <w:r w:rsidR="00D25239" w:rsidRPr="00865524">
        <w:rPr>
          <w:color w:val="2F5496" w:themeColor="accent1" w:themeShade="BF"/>
          <w:sz w:val="23"/>
          <w:szCs w:val="23"/>
        </w:rPr>
        <w:t xml:space="preserve">such as the Local Offer </w:t>
      </w:r>
      <w:hyperlink r:id="rId5" w:history="1">
        <w:r w:rsidR="00D25239" w:rsidRPr="00865524">
          <w:rPr>
            <w:rStyle w:val="Hyperlink"/>
            <w:sz w:val="23"/>
            <w:szCs w:val="23"/>
          </w:rPr>
          <w:t>https://localofferwirral.org/</w:t>
        </w:r>
      </w:hyperlink>
      <w:r w:rsidR="00D25239" w:rsidRPr="00865524">
        <w:rPr>
          <w:color w:val="2F5496" w:themeColor="accent1" w:themeShade="BF"/>
          <w:sz w:val="23"/>
          <w:szCs w:val="23"/>
        </w:rPr>
        <w:t xml:space="preserve"> </w:t>
      </w:r>
      <w:r w:rsidR="001D3E38" w:rsidRPr="00865524">
        <w:rPr>
          <w:color w:val="2F5496" w:themeColor="accent1" w:themeShade="BF"/>
          <w:sz w:val="23"/>
          <w:szCs w:val="23"/>
        </w:rPr>
        <w:t xml:space="preserve">and Wirral </w:t>
      </w:r>
      <w:r w:rsidR="00D25239" w:rsidRPr="00865524">
        <w:rPr>
          <w:color w:val="2F5496" w:themeColor="accent1" w:themeShade="BF"/>
          <w:sz w:val="23"/>
          <w:szCs w:val="23"/>
        </w:rPr>
        <w:t>L</w:t>
      </w:r>
      <w:r w:rsidR="001D3E38" w:rsidRPr="00865524">
        <w:rPr>
          <w:color w:val="2F5496" w:themeColor="accent1" w:themeShade="BF"/>
          <w:sz w:val="23"/>
          <w:szCs w:val="23"/>
        </w:rPr>
        <w:t>ivewell</w:t>
      </w:r>
      <w:r w:rsidR="00D25239" w:rsidRPr="00865524">
        <w:rPr>
          <w:color w:val="2F5496" w:themeColor="accent1" w:themeShade="BF"/>
          <w:sz w:val="23"/>
          <w:szCs w:val="23"/>
        </w:rPr>
        <w:t xml:space="preserve"> </w:t>
      </w:r>
      <w:hyperlink r:id="rId6" w:history="1">
        <w:r w:rsidR="00D25239" w:rsidRPr="00865524">
          <w:rPr>
            <w:rStyle w:val="Hyperlink"/>
            <w:sz w:val="23"/>
            <w:szCs w:val="23"/>
          </w:rPr>
          <w:t>https://www.thelivewelldirectory.com</w:t>
        </w:r>
      </w:hyperlink>
    </w:p>
    <w:p w14:paraId="4882B91B" w14:textId="65932C81" w:rsidR="00D54507" w:rsidRPr="001D3E38" w:rsidRDefault="001D3E38" w:rsidP="001D3E38">
      <w:pPr>
        <w:pStyle w:val="Default"/>
        <w:ind w:left="360"/>
        <w:rPr>
          <w:color w:val="2F5496" w:themeColor="accent1" w:themeShade="BF"/>
          <w:sz w:val="23"/>
          <w:szCs w:val="23"/>
        </w:rPr>
      </w:pPr>
      <w:r w:rsidRPr="001D3E38">
        <w:rPr>
          <w:color w:val="2F5496" w:themeColor="accent1" w:themeShade="BF"/>
          <w:sz w:val="23"/>
          <w:szCs w:val="23"/>
        </w:rPr>
        <w:t xml:space="preserve"> Adult social care are members of the SEND operational and strategic meetings, we also signpost to WIRED etc.</w:t>
      </w:r>
    </w:p>
    <w:p w14:paraId="49988299" w14:textId="77777777" w:rsidR="00A27194" w:rsidRDefault="00A27194" w:rsidP="00865524">
      <w:pPr>
        <w:pStyle w:val="Default"/>
        <w:rPr>
          <w:sz w:val="23"/>
          <w:szCs w:val="23"/>
        </w:rPr>
      </w:pPr>
    </w:p>
    <w:p w14:paraId="7AD71280" w14:textId="307A2EC6" w:rsidR="00A27194" w:rsidRDefault="00A27194" w:rsidP="00865524">
      <w:pPr>
        <w:pStyle w:val="Default"/>
        <w:numPr>
          <w:ilvl w:val="0"/>
          <w:numId w:val="1"/>
        </w:numPr>
        <w:ind w:hanging="284"/>
        <w:rPr>
          <w:sz w:val="23"/>
          <w:szCs w:val="23"/>
        </w:rPr>
      </w:pPr>
      <w:r>
        <w:rPr>
          <w:sz w:val="23"/>
          <w:szCs w:val="23"/>
        </w:rPr>
        <w:t xml:space="preserve">Is there a report commissioned from the IASS on the themes and trends of support and issues raised by young people 16-25 with SEND? </w:t>
      </w:r>
    </w:p>
    <w:p w14:paraId="27D8F3E0" w14:textId="0AB28C78" w:rsidR="001D3E38" w:rsidRPr="00932B6F" w:rsidRDefault="00932B6F" w:rsidP="00865524">
      <w:pPr>
        <w:pStyle w:val="Default"/>
        <w:ind w:hanging="284"/>
        <w:rPr>
          <w:color w:val="2F5496" w:themeColor="accent1" w:themeShade="BF"/>
          <w:sz w:val="23"/>
          <w:szCs w:val="23"/>
        </w:rPr>
      </w:pPr>
      <w:r>
        <w:rPr>
          <w:color w:val="2F5496" w:themeColor="accent1" w:themeShade="BF"/>
          <w:sz w:val="23"/>
          <w:szCs w:val="23"/>
        </w:rPr>
        <w:t xml:space="preserve">             </w:t>
      </w:r>
      <w:r w:rsidR="001D3E38" w:rsidRPr="001D3E38">
        <w:rPr>
          <w:color w:val="2F5496" w:themeColor="accent1" w:themeShade="BF"/>
          <w:sz w:val="23"/>
          <w:szCs w:val="23"/>
        </w:rPr>
        <w:t>I am not aware of this sorry</w:t>
      </w:r>
      <w:r>
        <w:rPr>
          <w:color w:val="2F5496" w:themeColor="accent1" w:themeShade="BF"/>
          <w:sz w:val="23"/>
          <w:szCs w:val="23"/>
        </w:rPr>
        <w:t xml:space="preserve">. </w:t>
      </w:r>
    </w:p>
    <w:p w14:paraId="27EDC06C" w14:textId="77777777" w:rsidR="00A27194" w:rsidRDefault="00A27194" w:rsidP="00865524">
      <w:pPr>
        <w:pStyle w:val="Default"/>
        <w:ind w:hanging="284"/>
        <w:rPr>
          <w:sz w:val="23"/>
          <w:szCs w:val="23"/>
        </w:rPr>
      </w:pPr>
    </w:p>
    <w:p w14:paraId="66FBB5E4" w14:textId="44EF9856" w:rsidR="00A27194" w:rsidRDefault="00A27194" w:rsidP="00865524">
      <w:pPr>
        <w:pStyle w:val="Default"/>
        <w:numPr>
          <w:ilvl w:val="0"/>
          <w:numId w:val="1"/>
        </w:numPr>
        <w:ind w:hanging="284"/>
        <w:rPr>
          <w:sz w:val="23"/>
          <w:szCs w:val="23"/>
        </w:rPr>
      </w:pPr>
      <w:r>
        <w:rPr>
          <w:sz w:val="23"/>
          <w:szCs w:val="23"/>
        </w:rPr>
        <w:t xml:space="preserve">What areas have been identified as needing further support by the commissioners? </w:t>
      </w:r>
    </w:p>
    <w:p w14:paraId="617DD0AE" w14:textId="68261E4D" w:rsidR="00A27194" w:rsidRPr="00865524" w:rsidRDefault="000B23BA" w:rsidP="00865524">
      <w:pPr>
        <w:pStyle w:val="Default"/>
        <w:ind w:left="360"/>
        <w:rPr>
          <w:color w:val="2F5496" w:themeColor="accent1" w:themeShade="BF"/>
          <w:sz w:val="23"/>
          <w:szCs w:val="23"/>
        </w:rPr>
      </w:pPr>
      <w:r w:rsidRPr="000B23BA">
        <w:rPr>
          <w:color w:val="2F5496" w:themeColor="accent1" w:themeShade="BF"/>
          <w:sz w:val="23"/>
          <w:szCs w:val="23"/>
        </w:rPr>
        <w:t xml:space="preserve">A new plan is </w:t>
      </w:r>
      <w:r w:rsidR="00932B6F">
        <w:rPr>
          <w:color w:val="2F5496" w:themeColor="accent1" w:themeShade="BF"/>
          <w:sz w:val="23"/>
          <w:szCs w:val="23"/>
        </w:rPr>
        <w:t xml:space="preserve">currently </w:t>
      </w:r>
      <w:r w:rsidRPr="000B23BA">
        <w:rPr>
          <w:color w:val="2F5496" w:themeColor="accent1" w:themeShade="BF"/>
          <w:sz w:val="23"/>
          <w:szCs w:val="23"/>
        </w:rPr>
        <w:t>being formulated, as a community trust we operate within the Section 75 agreement, if the commissioners identify any areas needing further support this is escalated to us via contract meetings</w:t>
      </w:r>
    </w:p>
    <w:p w14:paraId="32BB8FC8" w14:textId="33FD7814" w:rsidR="00A27194" w:rsidRDefault="00A27194" w:rsidP="00932B6F">
      <w:pPr>
        <w:pStyle w:val="Default"/>
        <w:ind w:left="426"/>
        <w:rPr>
          <w:sz w:val="23"/>
          <w:szCs w:val="23"/>
        </w:rPr>
      </w:pPr>
      <w:r>
        <w:rPr>
          <w:sz w:val="23"/>
          <w:szCs w:val="23"/>
        </w:rPr>
        <w:t xml:space="preserve">8. CADT social care advice team. For the staff on the phones, how are they trained in the law relating to SEND? </w:t>
      </w:r>
    </w:p>
    <w:p w14:paraId="1DF46305" w14:textId="782BD67E" w:rsidR="009D178D" w:rsidRPr="00D64B43" w:rsidRDefault="009D178D" w:rsidP="00932B6F">
      <w:pPr>
        <w:pStyle w:val="Default"/>
        <w:ind w:left="426"/>
        <w:rPr>
          <w:color w:val="2F5496" w:themeColor="accent1" w:themeShade="BF"/>
          <w:sz w:val="23"/>
          <w:szCs w:val="23"/>
        </w:rPr>
      </w:pPr>
      <w:r w:rsidRPr="00D64B43">
        <w:rPr>
          <w:color w:val="2F5496" w:themeColor="accent1" w:themeShade="BF"/>
          <w:sz w:val="23"/>
          <w:szCs w:val="23"/>
        </w:rPr>
        <w:t>The CADT workers are there to take the basic information</w:t>
      </w:r>
      <w:r w:rsidR="00932B6F">
        <w:rPr>
          <w:color w:val="2F5496" w:themeColor="accent1" w:themeShade="BF"/>
          <w:sz w:val="23"/>
          <w:szCs w:val="23"/>
        </w:rPr>
        <w:t>,</w:t>
      </w:r>
      <w:r w:rsidRPr="00D64B43">
        <w:rPr>
          <w:color w:val="2F5496" w:themeColor="accent1" w:themeShade="BF"/>
          <w:sz w:val="23"/>
          <w:szCs w:val="23"/>
        </w:rPr>
        <w:t xml:space="preserve"> they are not </w:t>
      </w:r>
      <w:r w:rsidR="00932B6F" w:rsidRPr="00D64B43">
        <w:rPr>
          <w:color w:val="2F5496" w:themeColor="accent1" w:themeShade="BF"/>
          <w:sz w:val="23"/>
          <w:szCs w:val="23"/>
        </w:rPr>
        <w:t>trained</w:t>
      </w:r>
      <w:r w:rsidR="00932B6F">
        <w:rPr>
          <w:color w:val="2F5496" w:themeColor="accent1" w:themeShade="BF"/>
          <w:sz w:val="23"/>
          <w:szCs w:val="23"/>
        </w:rPr>
        <w:t xml:space="preserve"> </w:t>
      </w:r>
      <w:r w:rsidRPr="00D64B43">
        <w:rPr>
          <w:color w:val="2F5496" w:themeColor="accent1" w:themeShade="BF"/>
          <w:sz w:val="23"/>
          <w:szCs w:val="23"/>
        </w:rPr>
        <w:t>specifically in SEND</w:t>
      </w:r>
      <w:r w:rsidR="001D3E38" w:rsidRPr="00D64B43">
        <w:rPr>
          <w:color w:val="2F5496" w:themeColor="accent1" w:themeShade="BF"/>
          <w:sz w:val="23"/>
          <w:szCs w:val="23"/>
        </w:rPr>
        <w:t xml:space="preserve">. </w:t>
      </w:r>
      <w:r w:rsidR="003E3442" w:rsidRPr="00D64B43">
        <w:rPr>
          <w:color w:val="2F5496" w:themeColor="accent1" w:themeShade="BF"/>
          <w:sz w:val="23"/>
          <w:szCs w:val="23"/>
        </w:rPr>
        <w:t>Transitions</w:t>
      </w:r>
      <w:r w:rsidR="001D3E38" w:rsidRPr="00D64B43">
        <w:rPr>
          <w:color w:val="2F5496" w:themeColor="accent1" w:themeShade="BF"/>
          <w:sz w:val="23"/>
          <w:szCs w:val="23"/>
        </w:rPr>
        <w:t xml:space="preserve"> referrals should not </w:t>
      </w:r>
      <w:r w:rsidR="003E3442" w:rsidRPr="00D64B43">
        <w:rPr>
          <w:color w:val="2F5496" w:themeColor="accent1" w:themeShade="BF"/>
          <w:sz w:val="23"/>
          <w:szCs w:val="23"/>
        </w:rPr>
        <w:t>really</w:t>
      </w:r>
      <w:r w:rsidR="001D3E38" w:rsidRPr="00D64B43">
        <w:rPr>
          <w:color w:val="2F5496" w:themeColor="accent1" w:themeShade="BF"/>
          <w:sz w:val="23"/>
          <w:szCs w:val="23"/>
        </w:rPr>
        <w:t xml:space="preserve"> be coming via CADT as we meet </w:t>
      </w:r>
      <w:r w:rsidR="003E3442" w:rsidRPr="00D64B43">
        <w:rPr>
          <w:color w:val="2F5496" w:themeColor="accent1" w:themeShade="BF"/>
          <w:sz w:val="23"/>
          <w:szCs w:val="23"/>
        </w:rPr>
        <w:t>monthly</w:t>
      </w:r>
      <w:r w:rsidR="001D3E38" w:rsidRPr="00D64B43">
        <w:rPr>
          <w:color w:val="2F5496" w:themeColor="accent1" w:themeShade="BF"/>
          <w:sz w:val="23"/>
          <w:szCs w:val="23"/>
        </w:rPr>
        <w:t xml:space="preserve"> with </w:t>
      </w:r>
      <w:r w:rsidR="003E3442" w:rsidRPr="00D64B43">
        <w:rPr>
          <w:color w:val="2F5496" w:themeColor="accent1" w:themeShade="BF"/>
          <w:sz w:val="23"/>
          <w:szCs w:val="23"/>
        </w:rPr>
        <w:t>Children’s services and we have a list of transitions cases identified, we work on these in advance. The transitions meeting includes managers and workers f</w:t>
      </w:r>
      <w:r w:rsidR="00D64B43" w:rsidRPr="00D64B43">
        <w:rPr>
          <w:color w:val="2F5496" w:themeColor="accent1" w:themeShade="BF"/>
          <w:sz w:val="23"/>
          <w:szCs w:val="23"/>
        </w:rPr>
        <w:t>rom</w:t>
      </w:r>
      <w:r w:rsidR="003E3442" w:rsidRPr="00D64B43">
        <w:rPr>
          <w:color w:val="2F5496" w:themeColor="accent1" w:themeShade="BF"/>
          <w:sz w:val="23"/>
          <w:szCs w:val="23"/>
        </w:rPr>
        <w:t xml:space="preserve"> Children’s, </w:t>
      </w:r>
      <w:r w:rsidR="00932B6F">
        <w:rPr>
          <w:color w:val="2F5496" w:themeColor="accent1" w:themeShade="BF"/>
          <w:sz w:val="23"/>
          <w:szCs w:val="23"/>
        </w:rPr>
        <w:t>C</w:t>
      </w:r>
      <w:r w:rsidR="003E3442" w:rsidRPr="00D64B43">
        <w:rPr>
          <w:color w:val="2F5496" w:themeColor="accent1" w:themeShade="BF"/>
          <w:sz w:val="23"/>
          <w:szCs w:val="23"/>
        </w:rPr>
        <w:t xml:space="preserve">hildren’s </w:t>
      </w:r>
      <w:r w:rsidR="00932B6F">
        <w:rPr>
          <w:color w:val="2F5496" w:themeColor="accent1" w:themeShade="BF"/>
          <w:sz w:val="23"/>
          <w:szCs w:val="23"/>
        </w:rPr>
        <w:t>D</w:t>
      </w:r>
      <w:r w:rsidR="003E3442" w:rsidRPr="00D64B43">
        <w:rPr>
          <w:color w:val="2F5496" w:themeColor="accent1" w:themeShade="BF"/>
          <w:sz w:val="23"/>
          <w:szCs w:val="23"/>
        </w:rPr>
        <w:t xml:space="preserve">isability team, transitions team, community trust and </w:t>
      </w:r>
      <w:r w:rsidR="00D64B43" w:rsidRPr="00D64B43">
        <w:rPr>
          <w:color w:val="2F5496" w:themeColor="accent1" w:themeShade="BF"/>
          <w:sz w:val="23"/>
          <w:szCs w:val="23"/>
        </w:rPr>
        <w:t xml:space="preserve">integrated Disability team. It should only be a few cases that go to CADT, and in most cases this is when they haven’t followed the agreed transitions route in place with the </w:t>
      </w:r>
      <w:r w:rsidR="00932B6F">
        <w:rPr>
          <w:color w:val="2F5496" w:themeColor="accent1" w:themeShade="BF"/>
          <w:sz w:val="23"/>
          <w:szCs w:val="23"/>
        </w:rPr>
        <w:t>C</w:t>
      </w:r>
      <w:r w:rsidR="00D64B43" w:rsidRPr="00D64B43">
        <w:rPr>
          <w:color w:val="2F5496" w:themeColor="accent1" w:themeShade="BF"/>
          <w:sz w:val="23"/>
          <w:szCs w:val="23"/>
        </w:rPr>
        <w:t>ouncil.</w:t>
      </w:r>
    </w:p>
    <w:p w14:paraId="5DAFC4DC" w14:textId="77777777" w:rsidR="00D64B43" w:rsidRPr="00D64B43" w:rsidRDefault="00D64B43" w:rsidP="00932B6F">
      <w:pPr>
        <w:pStyle w:val="Default"/>
        <w:ind w:left="426"/>
        <w:rPr>
          <w:color w:val="2F5496" w:themeColor="accent1" w:themeShade="BF"/>
          <w:sz w:val="23"/>
          <w:szCs w:val="23"/>
        </w:rPr>
      </w:pPr>
    </w:p>
    <w:p w14:paraId="6087CD10" w14:textId="77777777" w:rsidR="00A27194" w:rsidRDefault="00A27194" w:rsidP="00932B6F">
      <w:pPr>
        <w:pStyle w:val="Default"/>
        <w:ind w:left="426"/>
        <w:rPr>
          <w:sz w:val="23"/>
          <w:szCs w:val="23"/>
        </w:rPr>
      </w:pPr>
    </w:p>
    <w:p w14:paraId="54D2BDBF" w14:textId="60D97660" w:rsidR="00A27194" w:rsidRDefault="00A27194" w:rsidP="00932B6F">
      <w:pPr>
        <w:pStyle w:val="Default"/>
        <w:ind w:left="426"/>
        <w:rPr>
          <w:sz w:val="23"/>
          <w:szCs w:val="23"/>
        </w:rPr>
      </w:pPr>
      <w:r>
        <w:rPr>
          <w:sz w:val="23"/>
          <w:szCs w:val="23"/>
        </w:rPr>
        <w:t xml:space="preserve">9. On the CADT phone service, has there been any feedback on the service requested from service users? Could feedback be requested perhaps by a survey? </w:t>
      </w:r>
    </w:p>
    <w:p w14:paraId="119F2D73" w14:textId="4A7CBED2" w:rsidR="00D64B43" w:rsidRPr="00D64B43" w:rsidRDefault="00D64B43" w:rsidP="00932B6F">
      <w:pPr>
        <w:pStyle w:val="Default"/>
        <w:ind w:left="426"/>
        <w:rPr>
          <w:color w:val="2F5496" w:themeColor="accent1" w:themeShade="BF"/>
          <w:sz w:val="23"/>
          <w:szCs w:val="23"/>
        </w:rPr>
      </w:pPr>
      <w:r w:rsidRPr="00D64B43">
        <w:rPr>
          <w:color w:val="2F5496" w:themeColor="accent1" w:themeShade="BF"/>
          <w:sz w:val="23"/>
          <w:szCs w:val="23"/>
        </w:rPr>
        <w:t xml:space="preserve">This is being explored so we can capture feedback at various stages of a </w:t>
      </w:r>
      <w:r w:rsidR="00932B6F">
        <w:rPr>
          <w:color w:val="2F5496" w:themeColor="accent1" w:themeShade="BF"/>
          <w:sz w:val="23"/>
          <w:szCs w:val="23"/>
        </w:rPr>
        <w:t xml:space="preserve">young </w:t>
      </w:r>
      <w:r w:rsidRPr="00D64B43">
        <w:rPr>
          <w:color w:val="2F5496" w:themeColor="accent1" w:themeShade="BF"/>
          <w:sz w:val="23"/>
          <w:szCs w:val="23"/>
        </w:rPr>
        <w:t>person</w:t>
      </w:r>
      <w:r w:rsidR="00932B6F">
        <w:rPr>
          <w:color w:val="2F5496" w:themeColor="accent1" w:themeShade="BF"/>
          <w:sz w:val="23"/>
          <w:szCs w:val="23"/>
        </w:rPr>
        <w:t>’</w:t>
      </w:r>
      <w:r w:rsidRPr="00D64B43">
        <w:rPr>
          <w:color w:val="2F5496" w:themeColor="accent1" w:themeShade="BF"/>
          <w:sz w:val="23"/>
          <w:szCs w:val="23"/>
        </w:rPr>
        <w:t>s journey.</w:t>
      </w:r>
    </w:p>
    <w:p w14:paraId="63225016" w14:textId="77777777" w:rsidR="00D64B43" w:rsidRDefault="00D64B43" w:rsidP="00932B6F">
      <w:pPr>
        <w:pStyle w:val="Default"/>
        <w:ind w:left="426"/>
        <w:rPr>
          <w:sz w:val="23"/>
          <w:szCs w:val="23"/>
        </w:rPr>
      </w:pPr>
    </w:p>
    <w:p w14:paraId="33C6278C" w14:textId="77777777" w:rsidR="00A27194" w:rsidRDefault="00A27194" w:rsidP="00932B6F">
      <w:pPr>
        <w:pStyle w:val="Default"/>
        <w:ind w:left="426"/>
        <w:rPr>
          <w:sz w:val="23"/>
          <w:szCs w:val="23"/>
        </w:rPr>
      </w:pPr>
    </w:p>
    <w:p w14:paraId="53E7F38F" w14:textId="44D09C74" w:rsidR="00A27194" w:rsidRDefault="00A27194" w:rsidP="00932B6F">
      <w:pPr>
        <w:pStyle w:val="Default"/>
        <w:ind w:left="426"/>
        <w:rPr>
          <w:sz w:val="23"/>
          <w:szCs w:val="23"/>
        </w:rPr>
      </w:pPr>
      <w:r>
        <w:rPr>
          <w:sz w:val="23"/>
          <w:szCs w:val="23"/>
        </w:rPr>
        <w:t xml:space="preserve">10. Case process. Why is the practice that a case is closed after a support need is raised, even though the adult will have on going needs, and the case has to be reopened and reallocated every time a different need or support request is raised? Has this been shown to be an appropriate and effective way to manage the service? </w:t>
      </w:r>
    </w:p>
    <w:p w14:paraId="15CD8C35" w14:textId="155C8A0C" w:rsidR="00D64B43" w:rsidRPr="000B23BA" w:rsidRDefault="00D64B43" w:rsidP="00932B6F">
      <w:pPr>
        <w:pStyle w:val="Default"/>
        <w:ind w:left="426"/>
        <w:rPr>
          <w:color w:val="2F5496" w:themeColor="accent1" w:themeShade="BF"/>
          <w:sz w:val="23"/>
          <w:szCs w:val="23"/>
        </w:rPr>
      </w:pPr>
      <w:r w:rsidRPr="000B23BA">
        <w:rPr>
          <w:color w:val="2F5496" w:themeColor="accent1" w:themeShade="BF"/>
          <w:sz w:val="23"/>
          <w:szCs w:val="23"/>
        </w:rPr>
        <w:t xml:space="preserve">In the </w:t>
      </w:r>
      <w:r w:rsidR="00932B6F">
        <w:rPr>
          <w:color w:val="2F5496" w:themeColor="accent1" w:themeShade="BF"/>
          <w:sz w:val="23"/>
          <w:szCs w:val="23"/>
        </w:rPr>
        <w:t>C</w:t>
      </w:r>
      <w:r w:rsidRPr="000B23BA">
        <w:rPr>
          <w:color w:val="2F5496" w:themeColor="accent1" w:themeShade="BF"/>
          <w:sz w:val="23"/>
          <w:szCs w:val="23"/>
        </w:rPr>
        <w:t xml:space="preserve">ommunity </w:t>
      </w:r>
      <w:r w:rsidR="00932B6F">
        <w:rPr>
          <w:color w:val="2F5496" w:themeColor="accent1" w:themeShade="BF"/>
          <w:sz w:val="23"/>
          <w:szCs w:val="23"/>
        </w:rPr>
        <w:t>T</w:t>
      </w:r>
      <w:r w:rsidRPr="000B23BA">
        <w:rPr>
          <w:color w:val="2F5496" w:themeColor="accent1" w:themeShade="BF"/>
          <w:sz w:val="23"/>
          <w:szCs w:val="23"/>
        </w:rPr>
        <w:t>rust we provide services to over 10,000 people, so we can</w:t>
      </w:r>
      <w:r w:rsidR="00932B6F">
        <w:rPr>
          <w:color w:val="2F5496" w:themeColor="accent1" w:themeShade="BF"/>
          <w:sz w:val="23"/>
          <w:szCs w:val="23"/>
        </w:rPr>
        <w:t>’</w:t>
      </w:r>
      <w:r w:rsidRPr="000B23BA">
        <w:rPr>
          <w:color w:val="2F5496" w:themeColor="accent1" w:themeShade="BF"/>
          <w:sz w:val="23"/>
          <w:szCs w:val="23"/>
        </w:rPr>
        <w:t>t realistically have all cases allocate</w:t>
      </w:r>
      <w:r w:rsidR="000B23BA" w:rsidRPr="000B23BA">
        <w:rPr>
          <w:color w:val="2F5496" w:themeColor="accent1" w:themeShade="BF"/>
          <w:sz w:val="23"/>
          <w:szCs w:val="23"/>
        </w:rPr>
        <w:t>d</w:t>
      </w:r>
      <w:r w:rsidRPr="000B23BA">
        <w:rPr>
          <w:color w:val="2F5496" w:themeColor="accent1" w:themeShade="BF"/>
          <w:sz w:val="23"/>
          <w:szCs w:val="23"/>
        </w:rPr>
        <w:t xml:space="preserve"> at all times. We have a limited staff resource and so we are actively involved when we need to be, but when things settle and a care plan is in place</w:t>
      </w:r>
      <w:r w:rsidR="000B23BA" w:rsidRPr="000B23BA">
        <w:rPr>
          <w:color w:val="2F5496" w:themeColor="accent1" w:themeShade="BF"/>
          <w:sz w:val="23"/>
          <w:szCs w:val="23"/>
        </w:rPr>
        <w:t xml:space="preserve"> we place the case on review and can pick it up if any issues arise</w:t>
      </w:r>
      <w:r w:rsidRPr="000B23BA">
        <w:rPr>
          <w:color w:val="2F5496" w:themeColor="accent1" w:themeShade="BF"/>
          <w:sz w:val="23"/>
          <w:szCs w:val="23"/>
        </w:rPr>
        <w:t>. However</w:t>
      </w:r>
      <w:r w:rsidR="00932B6F">
        <w:rPr>
          <w:color w:val="2F5496" w:themeColor="accent1" w:themeShade="BF"/>
          <w:sz w:val="23"/>
          <w:szCs w:val="23"/>
        </w:rPr>
        <w:t>,</w:t>
      </w:r>
      <w:r w:rsidRPr="000B23BA">
        <w:rPr>
          <w:color w:val="2F5496" w:themeColor="accent1" w:themeShade="BF"/>
          <w:sz w:val="23"/>
          <w:szCs w:val="23"/>
        </w:rPr>
        <w:t xml:space="preserve"> we have </w:t>
      </w:r>
      <w:r w:rsidR="000B23BA" w:rsidRPr="000B23BA">
        <w:rPr>
          <w:color w:val="2F5496" w:themeColor="accent1" w:themeShade="BF"/>
          <w:sz w:val="23"/>
          <w:szCs w:val="23"/>
        </w:rPr>
        <w:t>agreed</w:t>
      </w:r>
      <w:r w:rsidRPr="000B23BA">
        <w:rPr>
          <w:color w:val="2F5496" w:themeColor="accent1" w:themeShade="BF"/>
          <w:sz w:val="23"/>
          <w:szCs w:val="23"/>
        </w:rPr>
        <w:t xml:space="preserve"> </w:t>
      </w:r>
      <w:r w:rsidR="000B23BA" w:rsidRPr="000B23BA">
        <w:rPr>
          <w:color w:val="2F5496" w:themeColor="accent1" w:themeShade="BF"/>
          <w:sz w:val="23"/>
          <w:szCs w:val="23"/>
        </w:rPr>
        <w:t>that</w:t>
      </w:r>
      <w:r w:rsidRPr="000B23BA">
        <w:rPr>
          <w:color w:val="2F5496" w:themeColor="accent1" w:themeShade="BF"/>
          <w:sz w:val="23"/>
          <w:szCs w:val="23"/>
        </w:rPr>
        <w:t xml:space="preserve"> </w:t>
      </w:r>
      <w:r w:rsidR="000B23BA" w:rsidRPr="000B23BA">
        <w:rPr>
          <w:color w:val="2F5496" w:themeColor="accent1" w:themeShade="BF"/>
          <w:sz w:val="23"/>
          <w:szCs w:val="23"/>
        </w:rPr>
        <w:t>young</w:t>
      </w:r>
      <w:r w:rsidRPr="000B23BA">
        <w:rPr>
          <w:color w:val="2F5496" w:themeColor="accent1" w:themeShade="BF"/>
          <w:sz w:val="23"/>
          <w:szCs w:val="23"/>
        </w:rPr>
        <w:t xml:space="preserve"> </w:t>
      </w:r>
      <w:r w:rsidR="000B23BA" w:rsidRPr="000B23BA">
        <w:rPr>
          <w:color w:val="2F5496" w:themeColor="accent1" w:themeShade="BF"/>
          <w:sz w:val="23"/>
          <w:szCs w:val="23"/>
        </w:rPr>
        <w:t>people</w:t>
      </w:r>
      <w:r w:rsidRPr="000B23BA">
        <w:rPr>
          <w:color w:val="2F5496" w:themeColor="accent1" w:themeShade="BF"/>
          <w:sz w:val="23"/>
          <w:szCs w:val="23"/>
        </w:rPr>
        <w:t xml:space="preserve"> undergoing </w:t>
      </w:r>
      <w:r w:rsidR="000B23BA" w:rsidRPr="000B23BA">
        <w:rPr>
          <w:color w:val="2F5496" w:themeColor="accent1" w:themeShade="BF"/>
          <w:sz w:val="23"/>
          <w:szCs w:val="23"/>
        </w:rPr>
        <w:t>transition will be allocated a social care worker until they are at least 21.</w:t>
      </w:r>
    </w:p>
    <w:p w14:paraId="3DB16852" w14:textId="77777777" w:rsidR="000B23BA" w:rsidRPr="000B23BA" w:rsidRDefault="000B23BA" w:rsidP="00932B6F">
      <w:pPr>
        <w:pStyle w:val="Default"/>
        <w:ind w:left="284"/>
        <w:rPr>
          <w:color w:val="2F5496" w:themeColor="accent1" w:themeShade="BF"/>
          <w:sz w:val="23"/>
          <w:szCs w:val="23"/>
        </w:rPr>
      </w:pPr>
    </w:p>
    <w:p w14:paraId="04779CA7" w14:textId="77777777" w:rsidR="00A27194" w:rsidRDefault="00A27194" w:rsidP="00932B6F">
      <w:pPr>
        <w:pStyle w:val="Default"/>
        <w:ind w:left="284"/>
        <w:rPr>
          <w:sz w:val="23"/>
          <w:szCs w:val="23"/>
        </w:rPr>
      </w:pPr>
    </w:p>
    <w:p w14:paraId="7BC17520" w14:textId="4BE668A3" w:rsidR="00A27194" w:rsidRDefault="00A27194" w:rsidP="00932B6F">
      <w:pPr>
        <w:pStyle w:val="Default"/>
        <w:ind w:left="426"/>
        <w:rPr>
          <w:sz w:val="23"/>
          <w:szCs w:val="23"/>
        </w:rPr>
      </w:pPr>
      <w:r>
        <w:rPr>
          <w:sz w:val="23"/>
          <w:szCs w:val="23"/>
        </w:rPr>
        <w:t xml:space="preserve">11. Laptops. There are now voluntary groups collecting laptops to give to schools. How are the LA linking in with these groups? Assistive technology and support for parents and carers. Would the LA be interested in surveying parents to see what support they need to support their child’s use of computers at home for school in going? </w:t>
      </w:r>
    </w:p>
    <w:p w14:paraId="61492010" w14:textId="32269DC2" w:rsidR="00D64B43" w:rsidRPr="00D64B43" w:rsidRDefault="00D64B43" w:rsidP="00932B6F">
      <w:pPr>
        <w:pStyle w:val="Default"/>
        <w:ind w:left="426"/>
        <w:rPr>
          <w:color w:val="2F5496" w:themeColor="accent1" w:themeShade="BF"/>
          <w:sz w:val="23"/>
          <w:szCs w:val="23"/>
        </w:rPr>
      </w:pPr>
      <w:r w:rsidRPr="00D64B43">
        <w:rPr>
          <w:color w:val="2F5496" w:themeColor="accent1" w:themeShade="BF"/>
          <w:sz w:val="23"/>
          <w:szCs w:val="23"/>
        </w:rPr>
        <w:t>This is an issue for children’s services and education rather than adult social care.</w:t>
      </w:r>
    </w:p>
    <w:p w14:paraId="47B7513F" w14:textId="77777777" w:rsidR="00A27194" w:rsidRDefault="00A27194" w:rsidP="00932B6F">
      <w:pPr>
        <w:pStyle w:val="Default"/>
        <w:ind w:left="426"/>
        <w:rPr>
          <w:sz w:val="23"/>
          <w:szCs w:val="23"/>
        </w:rPr>
      </w:pPr>
    </w:p>
    <w:p w14:paraId="129C0262" w14:textId="77777777" w:rsidR="00865524" w:rsidRPr="00865524" w:rsidRDefault="00A27194" w:rsidP="00865524">
      <w:pPr>
        <w:pStyle w:val="Default"/>
        <w:ind w:left="426"/>
        <w:rPr>
          <w:sz w:val="23"/>
          <w:szCs w:val="23"/>
        </w:rPr>
      </w:pPr>
      <w:r>
        <w:rPr>
          <w:sz w:val="23"/>
          <w:szCs w:val="23"/>
        </w:rPr>
        <w:t xml:space="preserve">12. 6.7 and 6.24 of the statutory </w:t>
      </w:r>
      <w:r w:rsidR="00932B6F">
        <w:rPr>
          <w:sz w:val="23"/>
          <w:szCs w:val="23"/>
        </w:rPr>
        <w:t>C</w:t>
      </w:r>
      <w:r>
        <w:rPr>
          <w:sz w:val="23"/>
          <w:szCs w:val="23"/>
        </w:rPr>
        <w:t xml:space="preserve">are </w:t>
      </w:r>
      <w:r w:rsidR="00932B6F">
        <w:rPr>
          <w:sz w:val="23"/>
          <w:szCs w:val="23"/>
        </w:rPr>
        <w:t>A</w:t>
      </w:r>
      <w:r>
        <w:rPr>
          <w:sz w:val="23"/>
          <w:szCs w:val="23"/>
        </w:rPr>
        <w:t xml:space="preserve">ct guidance 2020 states assessors must be appropriately trained. Can adult social services provide comprehensive evidence of how their social workers are trained so that those with complex needs are </w:t>
      </w:r>
      <w:r w:rsidR="00865524" w:rsidRPr="00865524">
        <w:rPr>
          <w:sz w:val="23"/>
          <w:szCs w:val="23"/>
        </w:rPr>
        <w:t>adequately assessed under the care act and not simply deemed to lack capacity and excluded from any input into their own care act assessment?</w:t>
      </w:r>
    </w:p>
    <w:p w14:paraId="5EB4CB35" w14:textId="749F3853" w:rsidR="00A27194" w:rsidRDefault="00A27194" w:rsidP="00932B6F">
      <w:pPr>
        <w:pStyle w:val="Default"/>
        <w:ind w:left="426"/>
        <w:rPr>
          <w:sz w:val="23"/>
          <w:szCs w:val="23"/>
        </w:rPr>
      </w:pPr>
    </w:p>
    <w:p w14:paraId="73F6A046" w14:textId="77777777" w:rsidR="00865524" w:rsidRPr="0027480A" w:rsidRDefault="00865524" w:rsidP="00865524">
      <w:pPr>
        <w:pStyle w:val="Default"/>
        <w:ind w:left="426"/>
        <w:rPr>
          <w:color w:val="2F5496" w:themeColor="accent1" w:themeShade="BF"/>
          <w:sz w:val="23"/>
          <w:szCs w:val="23"/>
        </w:rPr>
      </w:pPr>
      <w:r w:rsidRPr="0027480A">
        <w:rPr>
          <w:color w:val="2F5496" w:themeColor="accent1" w:themeShade="BF"/>
          <w:sz w:val="23"/>
          <w:szCs w:val="23"/>
        </w:rPr>
        <w:t>I find this question disturbing as no one regardless of capacity should be excluded f</w:t>
      </w:r>
      <w:r>
        <w:rPr>
          <w:color w:val="2F5496" w:themeColor="accent1" w:themeShade="BF"/>
          <w:sz w:val="23"/>
          <w:szCs w:val="23"/>
        </w:rPr>
        <w:t>rom</w:t>
      </w:r>
      <w:r w:rsidRPr="0027480A">
        <w:rPr>
          <w:color w:val="2F5496" w:themeColor="accent1" w:themeShade="BF"/>
          <w:sz w:val="23"/>
          <w:szCs w:val="23"/>
        </w:rPr>
        <w:t xml:space="preserve"> their assessment.  The young person</w:t>
      </w:r>
      <w:r>
        <w:rPr>
          <w:color w:val="2F5496" w:themeColor="accent1" w:themeShade="BF"/>
          <w:sz w:val="23"/>
          <w:szCs w:val="23"/>
        </w:rPr>
        <w:t>’s</w:t>
      </w:r>
      <w:r w:rsidRPr="0027480A">
        <w:rPr>
          <w:color w:val="2F5496" w:themeColor="accent1" w:themeShade="BF"/>
          <w:sz w:val="23"/>
          <w:szCs w:val="23"/>
        </w:rPr>
        <w:t xml:space="preserve"> voice is the primary voice we need to hear.</w:t>
      </w:r>
    </w:p>
    <w:p w14:paraId="576F8C79" w14:textId="0C48814A" w:rsidR="00865524" w:rsidRPr="0027480A" w:rsidRDefault="00865524" w:rsidP="00865524">
      <w:pPr>
        <w:pStyle w:val="Default"/>
        <w:ind w:left="426"/>
        <w:rPr>
          <w:color w:val="2F5496" w:themeColor="accent1" w:themeShade="BF"/>
          <w:sz w:val="23"/>
          <w:szCs w:val="23"/>
        </w:rPr>
      </w:pPr>
      <w:r w:rsidRPr="0027480A">
        <w:rPr>
          <w:color w:val="2F5496" w:themeColor="accent1" w:themeShade="BF"/>
          <w:sz w:val="23"/>
          <w:szCs w:val="23"/>
        </w:rPr>
        <w:t>Our staff access relevant core training as agreed by the health and social care system. In relation to specific conditions</w:t>
      </w:r>
      <w:r>
        <w:rPr>
          <w:color w:val="2F5496" w:themeColor="accent1" w:themeShade="BF"/>
          <w:sz w:val="23"/>
          <w:szCs w:val="23"/>
        </w:rPr>
        <w:t>,</w:t>
      </w:r>
      <w:r w:rsidRPr="0027480A">
        <w:rPr>
          <w:color w:val="2F5496" w:themeColor="accent1" w:themeShade="BF"/>
          <w:sz w:val="23"/>
          <w:szCs w:val="23"/>
        </w:rPr>
        <w:t xml:space="preserve"> we would rely on health colleagues with experience in this area, we can also access bespoke training if needed.</w:t>
      </w:r>
    </w:p>
    <w:p w14:paraId="6D6CDF49" w14:textId="77777777" w:rsidR="00865524" w:rsidRDefault="00865524" w:rsidP="00865524">
      <w:pPr>
        <w:pStyle w:val="Default"/>
        <w:rPr>
          <w:sz w:val="23"/>
          <w:szCs w:val="23"/>
        </w:rPr>
      </w:pPr>
    </w:p>
    <w:p w14:paraId="04BEF1DA" w14:textId="77777777" w:rsidR="00865524" w:rsidRDefault="00865524" w:rsidP="00865524">
      <w:pPr>
        <w:pStyle w:val="Default"/>
        <w:rPr>
          <w:sz w:val="23"/>
          <w:szCs w:val="23"/>
        </w:rPr>
      </w:pPr>
    </w:p>
    <w:p w14:paraId="2C50F543" w14:textId="25D7FC0C" w:rsidR="00865524" w:rsidRDefault="00865524" w:rsidP="00865524">
      <w:pPr>
        <w:pStyle w:val="Default"/>
        <w:rPr>
          <w:sz w:val="23"/>
          <w:szCs w:val="23"/>
        </w:rPr>
      </w:pPr>
      <w:r>
        <w:rPr>
          <w:sz w:val="23"/>
          <w:szCs w:val="23"/>
        </w:rPr>
        <w:t>13. It is very clear from the amount of internal disagreements between senior managers of social care and education (some witnessed in-front of parent/carers and young people) that education and social care work in silo. What steps are social care and education taking to ensure the joined up approach required by the Children and Families Act 2014 is achieved so young people achieve the outcomes on their EHCP’s</w:t>
      </w:r>
      <w:r>
        <w:rPr>
          <w:sz w:val="23"/>
          <w:szCs w:val="23"/>
        </w:rPr>
        <w:t>.</w:t>
      </w:r>
    </w:p>
    <w:p w14:paraId="69ED1918" w14:textId="77777777" w:rsidR="00865524" w:rsidRDefault="00865524" w:rsidP="00865524">
      <w:pPr>
        <w:pStyle w:val="Default"/>
        <w:rPr>
          <w:sz w:val="23"/>
          <w:szCs w:val="23"/>
        </w:rPr>
      </w:pPr>
    </w:p>
    <w:p w14:paraId="38DDE69A" w14:textId="77777777" w:rsidR="00865524" w:rsidRPr="000B23BA" w:rsidRDefault="00865524" w:rsidP="00865524">
      <w:pPr>
        <w:pStyle w:val="Default"/>
        <w:rPr>
          <w:color w:val="2F5496" w:themeColor="accent1" w:themeShade="BF"/>
          <w:sz w:val="23"/>
          <w:szCs w:val="23"/>
        </w:rPr>
      </w:pPr>
      <w:r w:rsidRPr="000B23BA">
        <w:rPr>
          <w:color w:val="2F5496" w:themeColor="accent1" w:themeShade="BF"/>
          <w:sz w:val="23"/>
          <w:szCs w:val="23"/>
        </w:rPr>
        <w:t xml:space="preserve">As a </w:t>
      </w:r>
      <w:r>
        <w:rPr>
          <w:color w:val="2F5496" w:themeColor="accent1" w:themeShade="BF"/>
          <w:sz w:val="23"/>
          <w:szCs w:val="23"/>
        </w:rPr>
        <w:t>C</w:t>
      </w:r>
      <w:r w:rsidRPr="000B23BA">
        <w:rPr>
          <w:color w:val="2F5496" w:themeColor="accent1" w:themeShade="BF"/>
          <w:sz w:val="23"/>
          <w:szCs w:val="23"/>
        </w:rPr>
        <w:t xml:space="preserve">ommunity </w:t>
      </w:r>
      <w:r>
        <w:rPr>
          <w:color w:val="2F5496" w:themeColor="accent1" w:themeShade="BF"/>
          <w:sz w:val="23"/>
          <w:szCs w:val="23"/>
        </w:rPr>
        <w:t>T</w:t>
      </w:r>
      <w:r w:rsidRPr="000B23BA">
        <w:rPr>
          <w:color w:val="2F5496" w:themeColor="accent1" w:themeShade="BF"/>
          <w:sz w:val="23"/>
          <w:szCs w:val="23"/>
        </w:rPr>
        <w:t>rust we operate in line with The Care Act 2014, we do work with our partners in education and children’s services. However</w:t>
      </w:r>
      <w:r>
        <w:rPr>
          <w:color w:val="2F5496" w:themeColor="accent1" w:themeShade="BF"/>
          <w:sz w:val="23"/>
          <w:szCs w:val="23"/>
        </w:rPr>
        <w:t>,</w:t>
      </w:r>
      <w:r w:rsidRPr="000B23BA">
        <w:rPr>
          <w:color w:val="2F5496" w:themeColor="accent1" w:themeShade="BF"/>
          <w:sz w:val="23"/>
          <w:szCs w:val="23"/>
        </w:rPr>
        <w:t xml:space="preserve"> we are separate organisations and we have limits around what we in adult social care can and are legally able to fund</w:t>
      </w:r>
      <w:r>
        <w:rPr>
          <w:color w:val="2F5496" w:themeColor="accent1" w:themeShade="BF"/>
          <w:sz w:val="23"/>
          <w:szCs w:val="23"/>
        </w:rPr>
        <w:t>. D</w:t>
      </w:r>
      <w:r w:rsidRPr="000B23BA">
        <w:rPr>
          <w:color w:val="2F5496" w:themeColor="accent1" w:themeShade="BF"/>
          <w:sz w:val="23"/>
          <w:szCs w:val="23"/>
        </w:rPr>
        <w:t>isagreements occur when services are commenced with the assumption adult social care will take over funding, this is not how it should be, we can only fund certain services and so partner agencies should not be committing adult social care expenditure on things we cannot fund. We are undertaking lots of work in this area and I have regular discussions with CYPD and education services about this issue.</w:t>
      </w:r>
    </w:p>
    <w:p w14:paraId="33E484ED" w14:textId="77777777" w:rsidR="00865524" w:rsidRPr="000B23BA" w:rsidRDefault="00865524" w:rsidP="00865524">
      <w:pPr>
        <w:pStyle w:val="Default"/>
        <w:rPr>
          <w:color w:val="2F5496" w:themeColor="accent1" w:themeShade="BF"/>
          <w:sz w:val="23"/>
          <w:szCs w:val="23"/>
        </w:rPr>
      </w:pPr>
    </w:p>
    <w:p w14:paraId="60CC4FE9" w14:textId="77777777" w:rsidR="00865524" w:rsidRPr="000B23BA" w:rsidRDefault="00865524" w:rsidP="00865524">
      <w:pPr>
        <w:pStyle w:val="Default"/>
        <w:rPr>
          <w:color w:val="2F5496" w:themeColor="accent1" w:themeShade="BF"/>
          <w:sz w:val="23"/>
          <w:szCs w:val="23"/>
        </w:rPr>
      </w:pPr>
      <w:r w:rsidRPr="000B23BA">
        <w:rPr>
          <w:color w:val="2F5496" w:themeColor="accent1" w:themeShade="BF"/>
          <w:sz w:val="23"/>
          <w:szCs w:val="23"/>
        </w:rPr>
        <w:t xml:space="preserve">It should not be played out in front of parents and carers, </w:t>
      </w:r>
      <w:r>
        <w:rPr>
          <w:color w:val="2F5496" w:themeColor="accent1" w:themeShade="BF"/>
          <w:sz w:val="23"/>
          <w:szCs w:val="23"/>
        </w:rPr>
        <w:t>and I am sorry if this has happened.</w:t>
      </w:r>
    </w:p>
    <w:p w14:paraId="1B40D026" w14:textId="77777777" w:rsidR="00865524" w:rsidRDefault="00865524" w:rsidP="00932B6F">
      <w:pPr>
        <w:pStyle w:val="Default"/>
        <w:ind w:left="426"/>
        <w:rPr>
          <w:sz w:val="23"/>
          <w:szCs w:val="23"/>
        </w:rPr>
      </w:pPr>
    </w:p>
    <w:p w14:paraId="58E48A9E" w14:textId="77777777" w:rsidR="00A27194" w:rsidRDefault="00A27194" w:rsidP="00865524">
      <w:pPr>
        <w:pStyle w:val="Default"/>
        <w:rPr>
          <w:sz w:val="23"/>
          <w:szCs w:val="23"/>
        </w:rPr>
      </w:pPr>
    </w:p>
    <w:p w14:paraId="7B7565F5" w14:textId="77777777" w:rsidR="00A27194" w:rsidRDefault="00A27194"/>
    <w:sectPr w:rsidR="00A27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63AB"/>
    <w:multiLevelType w:val="hybridMultilevel"/>
    <w:tmpl w:val="ECEA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94"/>
    <w:rsid w:val="000B0F10"/>
    <w:rsid w:val="000B23BA"/>
    <w:rsid w:val="001D3E38"/>
    <w:rsid w:val="0027480A"/>
    <w:rsid w:val="003E3442"/>
    <w:rsid w:val="00602976"/>
    <w:rsid w:val="00865524"/>
    <w:rsid w:val="00932B6F"/>
    <w:rsid w:val="009D178D"/>
    <w:rsid w:val="00A27194"/>
    <w:rsid w:val="00AA249E"/>
    <w:rsid w:val="00AA6931"/>
    <w:rsid w:val="00C86991"/>
    <w:rsid w:val="00D25239"/>
    <w:rsid w:val="00D54507"/>
    <w:rsid w:val="00D64B43"/>
    <w:rsid w:val="00FC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C87"/>
  <w15:chartTrackingRefBased/>
  <w15:docId w15:val="{96658E40-6694-402B-BD6E-658C0EA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19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5239"/>
    <w:rPr>
      <w:color w:val="0563C1" w:themeColor="hyperlink"/>
      <w:u w:val="single"/>
    </w:rPr>
  </w:style>
  <w:style w:type="character" w:styleId="UnresolvedMention">
    <w:name w:val="Unresolved Mention"/>
    <w:basedOn w:val="DefaultParagraphFont"/>
    <w:uiPriority w:val="99"/>
    <w:semiHidden/>
    <w:unhideWhenUsed/>
    <w:rsid w:val="00D25239"/>
    <w:rPr>
      <w:color w:val="605E5C"/>
      <w:shd w:val="clear" w:color="auto" w:fill="E1DFDD"/>
    </w:rPr>
  </w:style>
  <w:style w:type="character" w:styleId="FollowedHyperlink">
    <w:name w:val="FollowedHyperlink"/>
    <w:basedOn w:val="DefaultParagraphFont"/>
    <w:uiPriority w:val="99"/>
    <w:semiHidden/>
    <w:unhideWhenUsed/>
    <w:rsid w:val="00D25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ivewelldirectory.com" TargetMode="External"/><Relationship Id="rId5" Type="http://schemas.openxmlformats.org/officeDocument/2006/relationships/hyperlink" Target="https://localofferwir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Dave (WIRRAL COMMUNITY HEALTH AND CARE NHS FOUNDATION TRUST)</dc:creator>
  <cp:keywords/>
  <dc:description/>
  <cp:lastModifiedBy>Tittle, Sally J.</cp:lastModifiedBy>
  <cp:revision>2</cp:revision>
  <dcterms:created xsi:type="dcterms:W3CDTF">2021-02-25T12:55:00Z</dcterms:created>
  <dcterms:modified xsi:type="dcterms:W3CDTF">2021-02-25T12:55:00Z</dcterms:modified>
</cp:coreProperties>
</file>