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F8" w:rsidRDefault="00843BF8" w:rsidP="00C11745">
      <w:pPr>
        <w:ind w:right="-514"/>
        <w:jc w:val="both"/>
        <w:rPr>
          <w:rFonts w:ascii="Arial" w:hAnsi="Arial" w:cs="Arial"/>
        </w:rPr>
      </w:pPr>
    </w:p>
    <w:p w:rsidR="00C11745" w:rsidRPr="002A1797" w:rsidRDefault="00E53913" w:rsidP="00C11745">
      <w:pPr>
        <w:ind w:right="-514"/>
        <w:jc w:val="both"/>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7620</wp:posOffset>
            </wp:positionV>
            <wp:extent cx="2743200" cy="441960"/>
            <wp:effectExtent l="0" t="0" r="0" b="0"/>
            <wp:wrapTight wrapText="bothSides">
              <wp:wrapPolygon edited="0">
                <wp:start x="0" y="0"/>
                <wp:lineTo x="0" y="20483"/>
                <wp:lineTo x="21450" y="20483"/>
                <wp:lineTo x="21450" y="0"/>
                <wp:lineTo x="0" y="0"/>
              </wp:wrapPolygon>
            </wp:wrapTight>
            <wp:docPr id="2" name="Picture 2"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41960"/>
                    </a:xfrm>
                    <a:prstGeom prst="rect">
                      <a:avLst/>
                    </a:prstGeom>
                    <a:noFill/>
                  </pic:spPr>
                </pic:pic>
              </a:graphicData>
            </a:graphic>
            <wp14:sizeRelH relativeFrom="page">
              <wp14:pctWidth>0</wp14:pctWidth>
            </wp14:sizeRelH>
            <wp14:sizeRelV relativeFrom="page">
              <wp14:pctHeight>0</wp14:pctHeight>
            </wp14:sizeRelV>
          </wp:anchor>
        </w:drawing>
      </w:r>
    </w:p>
    <w:p w:rsidR="00C11745" w:rsidRPr="002A1797" w:rsidRDefault="00C11745" w:rsidP="00C11745">
      <w:pPr>
        <w:ind w:right="-514"/>
        <w:jc w:val="both"/>
        <w:rPr>
          <w:rFonts w:ascii="Arial" w:hAnsi="Arial" w:cs="Arial"/>
        </w:rPr>
      </w:pPr>
    </w:p>
    <w:p w:rsidR="00C11745" w:rsidRDefault="00C11745" w:rsidP="00C11745">
      <w:pPr>
        <w:ind w:right="-514"/>
        <w:jc w:val="both"/>
        <w:rPr>
          <w:rFonts w:ascii="Arial" w:hAnsi="Arial" w:cs="Arial"/>
        </w:rPr>
      </w:pPr>
    </w:p>
    <w:p w:rsidR="00843BF8" w:rsidRDefault="00843BF8" w:rsidP="00C11745">
      <w:pPr>
        <w:ind w:right="-514"/>
        <w:jc w:val="both"/>
        <w:rPr>
          <w:rFonts w:ascii="Arial" w:hAnsi="Arial" w:cs="Arial"/>
        </w:rPr>
      </w:pPr>
    </w:p>
    <w:p w:rsidR="00843BF8" w:rsidRPr="00E437B1" w:rsidRDefault="00843BF8" w:rsidP="00C11745">
      <w:pPr>
        <w:ind w:right="-514"/>
        <w:jc w:val="both"/>
        <w:rPr>
          <w:rFonts w:ascii="Arial" w:hAnsi="Arial" w:cs="Arial"/>
          <w:sz w:val="28"/>
          <w:szCs w:val="28"/>
        </w:rPr>
      </w:pPr>
    </w:p>
    <w:p w:rsidR="00C11745" w:rsidRPr="00E437B1" w:rsidRDefault="00843BF8" w:rsidP="00C11745">
      <w:pPr>
        <w:ind w:right="-514"/>
        <w:jc w:val="both"/>
        <w:rPr>
          <w:rFonts w:ascii="Arial" w:hAnsi="Arial" w:cs="Arial"/>
          <w:b/>
          <w:sz w:val="28"/>
          <w:szCs w:val="28"/>
          <w:u w:val="single"/>
        </w:rPr>
      </w:pPr>
      <w:r w:rsidRPr="00E437B1">
        <w:rPr>
          <w:rFonts w:ascii="Arial" w:hAnsi="Arial" w:cs="Arial"/>
          <w:b/>
          <w:sz w:val="28"/>
          <w:szCs w:val="28"/>
          <w:u w:val="single"/>
        </w:rPr>
        <w:t>Transition</w:t>
      </w:r>
      <w:r w:rsidR="0047792F" w:rsidRPr="00E437B1">
        <w:rPr>
          <w:rFonts w:ascii="Arial" w:hAnsi="Arial" w:cs="Arial"/>
          <w:b/>
          <w:sz w:val="28"/>
          <w:szCs w:val="28"/>
          <w:u w:val="single"/>
        </w:rPr>
        <w:t>al Arrangements Progress Report</w:t>
      </w:r>
    </w:p>
    <w:p w:rsidR="000E4ADB" w:rsidRPr="00E437B1" w:rsidRDefault="000E4ADB" w:rsidP="00C11745">
      <w:pPr>
        <w:ind w:right="-514"/>
        <w:jc w:val="both"/>
        <w:rPr>
          <w:rFonts w:ascii="Arial" w:hAnsi="Arial" w:cs="Arial"/>
          <w:b/>
          <w:sz w:val="28"/>
          <w:szCs w:val="28"/>
          <w:u w:val="single"/>
        </w:rPr>
      </w:pPr>
    </w:p>
    <w:p w:rsidR="000E4ADB" w:rsidRDefault="00E437B1" w:rsidP="00E437B1">
      <w:pPr>
        <w:spacing w:before="240"/>
        <w:ind w:right="-514"/>
        <w:jc w:val="both"/>
        <w:rPr>
          <w:rFonts w:ascii="Arial" w:hAnsi="Arial" w:cs="Arial"/>
          <w:b/>
          <w:u w:val="single"/>
        </w:rPr>
      </w:pPr>
      <w:r>
        <w:rPr>
          <w:rFonts w:ascii="Arial" w:hAnsi="Arial" w:cs="Arial"/>
          <w:b/>
          <w:u w:val="single"/>
        </w:rPr>
        <w:t xml:space="preserve"> In The First </w:t>
      </w:r>
      <w:proofErr w:type="spellStart"/>
      <w:r>
        <w:rPr>
          <w:rFonts w:ascii="Arial" w:hAnsi="Arial" w:cs="Arial"/>
          <w:b/>
          <w:u w:val="single"/>
        </w:rPr>
        <w:t>YearYear</w:t>
      </w:r>
      <w:proofErr w:type="spellEnd"/>
      <w:r>
        <w:rPr>
          <w:rFonts w:ascii="Arial" w:hAnsi="Arial" w:cs="Arial"/>
          <w:b/>
          <w:u w:val="single"/>
        </w:rPr>
        <w:t xml:space="preserve"> (</w:t>
      </w:r>
      <w:proofErr w:type="spellStart"/>
      <w:r>
        <w:rPr>
          <w:rFonts w:ascii="Arial" w:hAnsi="Arial" w:cs="Arial"/>
          <w:b/>
          <w:u w:val="single"/>
        </w:rPr>
        <w:t>Septemebr</w:t>
      </w:r>
      <w:proofErr w:type="spellEnd"/>
      <w:r>
        <w:rPr>
          <w:rFonts w:ascii="Arial" w:hAnsi="Arial" w:cs="Arial"/>
          <w:b/>
          <w:u w:val="single"/>
        </w:rPr>
        <w:t xml:space="preserve"> </w:t>
      </w:r>
      <w:r w:rsidR="0047792F">
        <w:rPr>
          <w:rFonts w:ascii="Arial" w:hAnsi="Arial" w:cs="Arial"/>
          <w:b/>
          <w:u w:val="single"/>
        </w:rPr>
        <w:t>2014-September 20</w:t>
      </w:r>
      <w:r>
        <w:rPr>
          <w:rFonts w:ascii="Arial" w:hAnsi="Arial" w:cs="Arial"/>
          <w:b/>
          <w:u w:val="single"/>
        </w:rPr>
        <w:t>15)</w:t>
      </w:r>
    </w:p>
    <w:p w:rsidR="00843BF8" w:rsidRDefault="00843BF8" w:rsidP="00C11745">
      <w:pPr>
        <w:ind w:right="-514"/>
        <w:jc w:val="both"/>
        <w:rPr>
          <w:rFonts w:ascii="Arial" w:hAnsi="Arial" w:cs="Arial"/>
        </w:rPr>
      </w:pPr>
    </w:p>
    <w:p w:rsidR="00843BF8" w:rsidRDefault="00843BF8" w:rsidP="00C11745">
      <w:pPr>
        <w:ind w:right="-514"/>
        <w:jc w:val="both"/>
        <w:rPr>
          <w:rFonts w:ascii="Arial" w:hAnsi="Arial" w:cs="Arial"/>
          <w:b/>
          <w:bCs/>
        </w:rPr>
      </w:pPr>
    </w:p>
    <w:p w:rsidR="00843BF8" w:rsidRPr="00E437B1" w:rsidRDefault="0047792F" w:rsidP="00E437B1">
      <w:pPr>
        <w:pStyle w:val="ListParagraph"/>
        <w:numPr>
          <w:ilvl w:val="0"/>
          <w:numId w:val="18"/>
        </w:numPr>
        <w:ind w:right="-514"/>
        <w:jc w:val="both"/>
        <w:rPr>
          <w:rFonts w:ascii="Arial" w:hAnsi="Arial" w:cs="Arial"/>
          <w:bCs/>
        </w:rPr>
      </w:pPr>
      <w:r w:rsidRPr="00E437B1">
        <w:rPr>
          <w:rFonts w:ascii="Arial" w:hAnsi="Arial" w:cs="Arial"/>
          <w:b/>
          <w:bCs/>
        </w:rPr>
        <w:t xml:space="preserve">In </w:t>
      </w:r>
      <w:r w:rsidR="00E437B1" w:rsidRPr="00E437B1">
        <w:rPr>
          <w:rFonts w:ascii="Arial" w:hAnsi="Arial" w:cs="Arial"/>
          <w:b/>
          <w:bCs/>
        </w:rPr>
        <w:t>response to the New Legislation</w:t>
      </w:r>
      <w:r w:rsidR="00BC6715" w:rsidRPr="00E437B1">
        <w:rPr>
          <w:rFonts w:ascii="Arial" w:hAnsi="Arial" w:cs="Arial"/>
          <w:b/>
          <w:bCs/>
        </w:rPr>
        <w:t xml:space="preserve"> Wirral</w:t>
      </w:r>
      <w:r w:rsidR="00843BF8" w:rsidRPr="00E437B1">
        <w:rPr>
          <w:rFonts w:ascii="Arial" w:hAnsi="Arial" w:cs="Arial"/>
          <w:b/>
          <w:bCs/>
        </w:rPr>
        <w:t xml:space="preserve"> began transferring </w:t>
      </w:r>
      <w:r w:rsidRPr="00E437B1">
        <w:rPr>
          <w:rFonts w:ascii="Arial" w:hAnsi="Arial" w:cs="Arial"/>
          <w:b/>
          <w:bCs/>
        </w:rPr>
        <w:t>children</w:t>
      </w:r>
      <w:r w:rsidR="00BC6715" w:rsidRPr="00E437B1">
        <w:rPr>
          <w:rFonts w:ascii="Arial" w:hAnsi="Arial" w:cs="Arial"/>
          <w:b/>
          <w:bCs/>
        </w:rPr>
        <w:t xml:space="preserve"> to the new SEN system during</w:t>
      </w:r>
      <w:r w:rsidR="0093620F" w:rsidRPr="00E437B1">
        <w:rPr>
          <w:rFonts w:ascii="Arial" w:hAnsi="Arial" w:cs="Arial"/>
          <w:b/>
          <w:bCs/>
        </w:rPr>
        <w:t xml:space="preserve"> the </w:t>
      </w:r>
      <w:r w:rsidR="00767FA1" w:rsidRPr="00E437B1">
        <w:rPr>
          <w:rFonts w:ascii="Arial" w:hAnsi="Arial" w:cs="Arial"/>
          <w:bCs/>
        </w:rPr>
        <w:t>spring</w:t>
      </w:r>
      <w:r w:rsidR="0093620F" w:rsidRPr="00E437B1">
        <w:rPr>
          <w:rFonts w:ascii="Arial" w:hAnsi="Arial" w:cs="Arial"/>
          <w:bCs/>
        </w:rPr>
        <w:t xml:space="preserve"> term </w:t>
      </w:r>
      <w:r w:rsidR="00767FA1" w:rsidRPr="00E437B1">
        <w:rPr>
          <w:rFonts w:ascii="Arial" w:hAnsi="Arial" w:cs="Arial"/>
          <w:bCs/>
        </w:rPr>
        <w:t>201</w:t>
      </w:r>
      <w:r w:rsidR="00AF56BB" w:rsidRPr="00E437B1">
        <w:rPr>
          <w:rFonts w:ascii="Arial" w:hAnsi="Arial" w:cs="Arial"/>
          <w:bCs/>
        </w:rPr>
        <w:t>5</w:t>
      </w:r>
      <w:r w:rsidR="00767FA1" w:rsidRPr="00E437B1">
        <w:rPr>
          <w:rFonts w:ascii="Arial" w:hAnsi="Arial" w:cs="Arial"/>
          <w:bCs/>
        </w:rPr>
        <w:t>.</w:t>
      </w:r>
    </w:p>
    <w:p w:rsidR="0047792F" w:rsidRDefault="0047792F" w:rsidP="00C11745">
      <w:pPr>
        <w:ind w:right="-514"/>
        <w:jc w:val="both"/>
        <w:rPr>
          <w:rFonts w:ascii="Arial" w:hAnsi="Arial" w:cs="Arial"/>
          <w:b/>
          <w:bCs/>
        </w:rPr>
      </w:pPr>
    </w:p>
    <w:p w:rsidR="003731AE" w:rsidRPr="002A1797" w:rsidRDefault="0081602C" w:rsidP="00C11745">
      <w:pPr>
        <w:ind w:right="-514"/>
        <w:jc w:val="both"/>
        <w:rPr>
          <w:rFonts w:ascii="Arial" w:hAnsi="Arial" w:cs="Arial"/>
          <w:lang w:val="en-US"/>
        </w:rPr>
      </w:pPr>
      <w:r>
        <w:rPr>
          <w:rFonts w:ascii="Arial" w:hAnsi="Arial" w:cs="Arial"/>
        </w:rPr>
        <w:t>Wirral had</w:t>
      </w:r>
      <w:r w:rsidR="00C11745" w:rsidRPr="002A1797">
        <w:rPr>
          <w:rFonts w:ascii="Arial" w:hAnsi="Arial" w:cs="Arial"/>
        </w:rPr>
        <w:t xml:space="preserve"> </w:t>
      </w:r>
      <w:r>
        <w:rPr>
          <w:rFonts w:ascii="Arial" w:hAnsi="Arial" w:cs="Arial"/>
        </w:rPr>
        <w:t>approximately</w:t>
      </w:r>
      <w:r w:rsidR="00C37FFA" w:rsidRPr="0047792F">
        <w:rPr>
          <w:rFonts w:ascii="Arial" w:hAnsi="Arial" w:cs="Arial"/>
          <w:b/>
        </w:rPr>
        <w:t xml:space="preserve"> </w:t>
      </w:r>
      <w:r w:rsidRPr="0047792F">
        <w:rPr>
          <w:rFonts w:ascii="Arial" w:hAnsi="Arial" w:cs="Arial"/>
          <w:b/>
        </w:rPr>
        <w:t>1600</w:t>
      </w:r>
      <w:r>
        <w:rPr>
          <w:rFonts w:ascii="Arial" w:hAnsi="Arial" w:cs="Arial"/>
        </w:rPr>
        <w:t xml:space="preserve"> children and young people who </w:t>
      </w:r>
      <w:r w:rsidR="00224199">
        <w:rPr>
          <w:rFonts w:ascii="Arial" w:hAnsi="Arial" w:cs="Arial"/>
        </w:rPr>
        <w:t>had statements</w:t>
      </w:r>
      <w:r>
        <w:rPr>
          <w:rFonts w:ascii="Arial" w:hAnsi="Arial" w:cs="Arial"/>
        </w:rPr>
        <w:t xml:space="preserve"> of Educational </w:t>
      </w:r>
      <w:r w:rsidR="00224199">
        <w:rPr>
          <w:rFonts w:ascii="Arial" w:hAnsi="Arial" w:cs="Arial"/>
        </w:rPr>
        <w:t>Needs</w:t>
      </w:r>
      <w:r w:rsidR="00BC6715">
        <w:rPr>
          <w:rFonts w:ascii="Arial" w:hAnsi="Arial" w:cs="Arial"/>
        </w:rPr>
        <w:t xml:space="preserve"> these all have to be transferred to EHCP’s by April 2018</w:t>
      </w:r>
      <w:r w:rsidR="00E437B1">
        <w:rPr>
          <w:rFonts w:ascii="Arial" w:hAnsi="Arial" w:cs="Arial"/>
        </w:rPr>
        <w:t>.Following National Guidance and Local consultation Wirral used Transitional times in the children’s lives to transfer their Statements to Education Health and Care Plans.</w:t>
      </w:r>
    </w:p>
    <w:p w:rsidR="00C11745" w:rsidRPr="002A1797" w:rsidRDefault="00C11745" w:rsidP="00C11745">
      <w:pPr>
        <w:ind w:right="-514"/>
        <w:jc w:val="both"/>
        <w:rPr>
          <w:rFonts w:ascii="Arial" w:hAnsi="Arial" w:cs="Arial"/>
          <w:b/>
          <w:bCs/>
        </w:rPr>
      </w:pPr>
    </w:p>
    <w:p w:rsidR="0047792F" w:rsidRPr="00971DBF" w:rsidRDefault="0047792F" w:rsidP="00C11745">
      <w:pPr>
        <w:ind w:right="-514"/>
        <w:jc w:val="both"/>
        <w:rPr>
          <w:rFonts w:ascii="Arial" w:hAnsi="Arial" w:cs="Arial"/>
          <w:b/>
        </w:rPr>
      </w:pPr>
    </w:p>
    <w:p w:rsidR="00C11745" w:rsidRPr="00E437B1" w:rsidRDefault="00E437B1" w:rsidP="00E437B1">
      <w:pPr>
        <w:pStyle w:val="ListParagraph"/>
        <w:numPr>
          <w:ilvl w:val="0"/>
          <w:numId w:val="18"/>
        </w:numPr>
        <w:ind w:right="-514"/>
        <w:jc w:val="both"/>
        <w:rPr>
          <w:rFonts w:ascii="Arial" w:hAnsi="Arial" w:cs="Arial"/>
          <w:b/>
        </w:rPr>
      </w:pPr>
      <w:r w:rsidRPr="00E437B1">
        <w:rPr>
          <w:rFonts w:ascii="Arial" w:hAnsi="Arial" w:cs="Arial"/>
          <w:b/>
        </w:rPr>
        <w:t>What we have done so far</w:t>
      </w:r>
    </w:p>
    <w:p w:rsidR="00713D00" w:rsidRDefault="00713D00" w:rsidP="00C11745">
      <w:pPr>
        <w:ind w:right="-514"/>
        <w:jc w:val="both"/>
        <w:rPr>
          <w:rFonts w:ascii="Arial" w:hAnsi="Arial" w:cs="Arial"/>
          <w:b/>
        </w:rPr>
      </w:pPr>
    </w:p>
    <w:p w:rsidR="00C11745" w:rsidRDefault="0047792F" w:rsidP="00C11745">
      <w:pPr>
        <w:ind w:right="-514"/>
        <w:jc w:val="both"/>
        <w:rPr>
          <w:rFonts w:ascii="Arial" w:hAnsi="Arial" w:cs="Arial"/>
        </w:rPr>
      </w:pPr>
      <w:r>
        <w:rPr>
          <w:rFonts w:ascii="Arial" w:hAnsi="Arial" w:cs="Arial"/>
        </w:rPr>
        <w:t>The Statut</w:t>
      </w:r>
      <w:r w:rsidR="0088432E">
        <w:rPr>
          <w:rFonts w:ascii="Arial" w:hAnsi="Arial" w:cs="Arial"/>
        </w:rPr>
        <w:t xml:space="preserve">ory Assessment Team appointed 4.5 </w:t>
      </w:r>
      <w:r>
        <w:rPr>
          <w:rFonts w:ascii="Arial" w:hAnsi="Arial" w:cs="Arial"/>
        </w:rPr>
        <w:t xml:space="preserve">additional members of </w:t>
      </w:r>
      <w:r w:rsidR="003F1796">
        <w:rPr>
          <w:rFonts w:ascii="Arial" w:hAnsi="Arial" w:cs="Arial"/>
        </w:rPr>
        <w:t xml:space="preserve">staff </w:t>
      </w:r>
      <w:r w:rsidR="00AF56BB">
        <w:rPr>
          <w:rFonts w:ascii="Arial" w:hAnsi="Arial" w:cs="Arial"/>
        </w:rPr>
        <w:t xml:space="preserve">in November 2014 this </w:t>
      </w:r>
      <w:r>
        <w:rPr>
          <w:rFonts w:ascii="Arial" w:hAnsi="Arial" w:cs="Arial"/>
        </w:rPr>
        <w:t xml:space="preserve">gave the existing team the capacity to undertake </w:t>
      </w:r>
      <w:r w:rsidR="003F1796">
        <w:rPr>
          <w:rFonts w:ascii="Arial" w:hAnsi="Arial" w:cs="Arial"/>
        </w:rPr>
        <w:t>the transfers</w:t>
      </w:r>
      <w:r>
        <w:rPr>
          <w:rFonts w:ascii="Arial" w:hAnsi="Arial" w:cs="Arial"/>
        </w:rPr>
        <w:t xml:space="preserve"> of </w:t>
      </w:r>
      <w:r w:rsidR="00BC6715">
        <w:rPr>
          <w:rFonts w:ascii="Arial" w:hAnsi="Arial" w:cs="Arial"/>
        </w:rPr>
        <w:t>existing Statements</w:t>
      </w:r>
      <w:r w:rsidR="00713D00">
        <w:rPr>
          <w:rFonts w:ascii="Arial" w:hAnsi="Arial" w:cs="Arial"/>
        </w:rPr>
        <w:t xml:space="preserve"> to Education Health and Care </w:t>
      </w:r>
      <w:r w:rsidR="00BC6715">
        <w:rPr>
          <w:rFonts w:ascii="Arial" w:hAnsi="Arial" w:cs="Arial"/>
        </w:rPr>
        <w:t>Plans. These co-ordinators also</w:t>
      </w:r>
      <w:r w:rsidR="003F1796">
        <w:rPr>
          <w:rFonts w:ascii="Arial" w:hAnsi="Arial" w:cs="Arial"/>
        </w:rPr>
        <w:t xml:space="preserve"> co</w:t>
      </w:r>
      <w:r w:rsidR="00BC6715">
        <w:rPr>
          <w:rFonts w:ascii="Arial" w:hAnsi="Arial" w:cs="Arial"/>
        </w:rPr>
        <w:t>-ordinate Initial assessments and write</w:t>
      </w:r>
      <w:r>
        <w:rPr>
          <w:rFonts w:ascii="Arial" w:hAnsi="Arial" w:cs="Arial"/>
        </w:rPr>
        <w:t xml:space="preserve"> initial EHC Plans.</w:t>
      </w:r>
      <w:r w:rsidR="00C11745" w:rsidRPr="002A1797">
        <w:rPr>
          <w:rFonts w:ascii="Arial" w:hAnsi="Arial" w:cs="Arial"/>
        </w:rPr>
        <w:t xml:space="preserve"> Training</w:t>
      </w:r>
      <w:r w:rsidR="00713D00">
        <w:rPr>
          <w:rFonts w:ascii="Arial" w:hAnsi="Arial" w:cs="Arial"/>
        </w:rPr>
        <w:t xml:space="preserve"> for the team was</w:t>
      </w:r>
      <w:r w:rsidR="00C11745" w:rsidRPr="002A1797">
        <w:rPr>
          <w:rFonts w:ascii="Arial" w:hAnsi="Arial" w:cs="Arial"/>
        </w:rPr>
        <w:t xml:space="preserve"> provided </w:t>
      </w:r>
      <w:r w:rsidR="00AF56BB">
        <w:rPr>
          <w:rFonts w:ascii="Arial" w:hAnsi="Arial" w:cs="Arial"/>
        </w:rPr>
        <w:t xml:space="preserve">throughout the </w:t>
      </w:r>
      <w:proofErr w:type="gramStart"/>
      <w:r w:rsidR="00AF56BB">
        <w:rPr>
          <w:rFonts w:ascii="Arial" w:hAnsi="Arial" w:cs="Arial"/>
        </w:rPr>
        <w:t>A</w:t>
      </w:r>
      <w:r w:rsidR="00713D00">
        <w:rPr>
          <w:rFonts w:ascii="Arial" w:hAnsi="Arial" w:cs="Arial"/>
        </w:rPr>
        <w:t>utumn</w:t>
      </w:r>
      <w:proofErr w:type="gramEnd"/>
      <w:r w:rsidR="00A53DB8">
        <w:rPr>
          <w:rFonts w:ascii="Arial" w:hAnsi="Arial" w:cs="Arial"/>
        </w:rPr>
        <w:t xml:space="preserve"> term 20</w:t>
      </w:r>
      <w:r w:rsidR="00713D00">
        <w:rPr>
          <w:rFonts w:ascii="Arial" w:hAnsi="Arial" w:cs="Arial"/>
        </w:rPr>
        <w:t xml:space="preserve">14, ensuring </w:t>
      </w:r>
      <w:r w:rsidR="00713D00" w:rsidRPr="002A1797">
        <w:rPr>
          <w:rFonts w:ascii="Arial" w:hAnsi="Arial" w:cs="Arial"/>
        </w:rPr>
        <w:t>that</w:t>
      </w:r>
      <w:r w:rsidR="00C11745" w:rsidRPr="002A1797">
        <w:rPr>
          <w:rFonts w:ascii="Arial" w:hAnsi="Arial" w:cs="Arial"/>
        </w:rPr>
        <w:t xml:space="preserve"> transfer review</w:t>
      </w:r>
      <w:r w:rsidR="00A53DB8">
        <w:rPr>
          <w:rFonts w:ascii="Arial" w:hAnsi="Arial" w:cs="Arial"/>
        </w:rPr>
        <w:t>s are conducted according to good practice</w:t>
      </w:r>
      <w:r w:rsidR="00C11745" w:rsidRPr="002A1797">
        <w:rPr>
          <w:rFonts w:ascii="Arial" w:hAnsi="Arial" w:cs="Arial"/>
        </w:rPr>
        <w:t xml:space="preserve"> guidance and</w:t>
      </w:r>
      <w:r w:rsidR="003F1796">
        <w:rPr>
          <w:rFonts w:ascii="Arial" w:hAnsi="Arial" w:cs="Arial"/>
        </w:rPr>
        <w:t xml:space="preserve"> in a person centred way.</w:t>
      </w:r>
      <w:r w:rsidR="00C11745" w:rsidRPr="002A1797">
        <w:rPr>
          <w:rFonts w:ascii="Arial" w:hAnsi="Arial" w:cs="Arial"/>
        </w:rPr>
        <w:t xml:space="preserve"> </w:t>
      </w:r>
      <w:r w:rsidR="00713D00">
        <w:rPr>
          <w:rFonts w:ascii="Arial" w:hAnsi="Arial" w:cs="Arial"/>
        </w:rPr>
        <w:t xml:space="preserve">Training on the new process was also given to all partners including schools during the </w:t>
      </w:r>
      <w:r w:rsidR="00AF56BB">
        <w:rPr>
          <w:rFonts w:ascii="Arial" w:hAnsi="Arial" w:cs="Arial"/>
        </w:rPr>
        <w:t xml:space="preserve">Autumn </w:t>
      </w:r>
      <w:r w:rsidR="00713D00">
        <w:rPr>
          <w:rFonts w:ascii="Arial" w:hAnsi="Arial" w:cs="Arial"/>
        </w:rPr>
        <w:t>Term. New paper work for “Transfer Review/</w:t>
      </w:r>
      <w:r w:rsidR="003F1796">
        <w:rPr>
          <w:rFonts w:ascii="Arial" w:hAnsi="Arial" w:cs="Arial"/>
        </w:rPr>
        <w:t>Annual</w:t>
      </w:r>
      <w:r w:rsidR="00713D00">
        <w:rPr>
          <w:rFonts w:ascii="Arial" w:hAnsi="Arial" w:cs="Arial"/>
        </w:rPr>
        <w:t xml:space="preserve"> R</w:t>
      </w:r>
      <w:r w:rsidR="003F1796">
        <w:rPr>
          <w:rFonts w:ascii="Arial" w:hAnsi="Arial" w:cs="Arial"/>
        </w:rPr>
        <w:t xml:space="preserve">eviews” </w:t>
      </w:r>
      <w:r w:rsidR="00AF56BB">
        <w:rPr>
          <w:rFonts w:ascii="Arial" w:hAnsi="Arial" w:cs="Arial"/>
        </w:rPr>
        <w:t xml:space="preserve">was </w:t>
      </w:r>
      <w:r w:rsidR="003F1796">
        <w:rPr>
          <w:rFonts w:ascii="Arial" w:hAnsi="Arial" w:cs="Arial"/>
        </w:rPr>
        <w:t xml:space="preserve">circulated. </w:t>
      </w:r>
    </w:p>
    <w:p w:rsidR="00713D00" w:rsidRDefault="00713D00" w:rsidP="00C11745">
      <w:pPr>
        <w:ind w:right="-514"/>
        <w:jc w:val="both"/>
        <w:rPr>
          <w:rFonts w:ascii="Arial" w:hAnsi="Arial" w:cs="Arial"/>
        </w:rPr>
      </w:pPr>
    </w:p>
    <w:p w:rsidR="00713D00" w:rsidRDefault="00713D00" w:rsidP="00C11745">
      <w:pPr>
        <w:ind w:right="-514"/>
        <w:jc w:val="both"/>
        <w:rPr>
          <w:rFonts w:ascii="Arial" w:hAnsi="Arial" w:cs="Arial"/>
        </w:rPr>
      </w:pPr>
    </w:p>
    <w:p w:rsidR="00C11745" w:rsidRPr="00E437B1" w:rsidRDefault="00C11745" w:rsidP="00E437B1">
      <w:pPr>
        <w:pStyle w:val="ListParagraph"/>
        <w:numPr>
          <w:ilvl w:val="0"/>
          <w:numId w:val="18"/>
        </w:numPr>
        <w:ind w:right="-514"/>
        <w:jc w:val="both"/>
        <w:rPr>
          <w:rFonts w:ascii="Arial" w:hAnsi="Arial" w:cs="Arial"/>
          <w:b/>
          <w:bCs/>
        </w:rPr>
      </w:pPr>
      <w:r w:rsidRPr="00E437B1">
        <w:rPr>
          <w:rFonts w:ascii="Arial" w:hAnsi="Arial" w:cs="Arial"/>
          <w:b/>
          <w:bCs/>
        </w:rPr>
        <w:t>How the L</w:t>
      </w:r>
      <w:r w:rsidR="00E437B1">
        <w:rPr>
          <w:rFonts w:ascii="Arial" w:hAnsi="Arial" w:cs="Arial"/>
          <w:b/>
          <w:bCs/>
        </w:rPr>
        <w:t xml:space="preserve">ocal </w:t>
      </w:r>
      <w:r w:rsidRPr="00E437B1">
        <w:rPr>
          <w:rFonts w:ascii="Arial" w:hAnsi="Arial" w:cs="Arial"/>
          <w:b/>
          <w:bCs/>
        </w:rPr>
        <w:t>A</w:t>
      </w:r>
      <w:r w:rsidR="00E437B1">
        <w:rPr>
          <w:rFonts w:ascii="Arial" w:hAnsi="Arial" w:cs="Arial"/>
          <w:b/>
          <w:bCs/>
        </w:rPr>
        <w:t>uthority</w:t>
      </w:r>
      <w:r w:rsidRPr="00E437B1">
        <w:rPr>
          <w:rFonts w:ascii="Arial" w:hAnsi="Arial" w:cs="Arial"/>
          <w:b/>
          <w:bCs/>
        </w:rPr>
        <w:t xml:space="preserve"> inform</w:t>
      </w:r>
      <w:r w:rsidR="00AF56BB" w:rsidRPr="00E437B1">
        <w:rPr>
          <w:rFonts w:ascii="Arial" w:hAnsi="Arial" w:cs="Arial"/>
          <w:b/>
          <w:bCs/>
        </w:rPr>
        <w:t>ed</w:t>
      </w:r>
      <w:r w:rsidRPr="00E437B1">
        <w:rPr>
          <w:rFonts w:ascii="Arial" w:hAnsi="Arial" w:cs="Arial"/>
          <w:b/>
          <w:bCs/>
        </w:rPr>
        <w:t xml:space="preserve"> parents of the arrangements for their young per</w:t>
      </w:r>
      <w:r w:rsidR="00E437B1">
        <w:rPr>
          <w:rFonts w:ascii="Arial" w:hAnsi="Arial" w:cs="Arial"/>
          <w:b/>
          <w:bCs/>
        </w:rPr>
        <w:t>sons transfer to the new system?</w:t>
      </w:r>
    </w:p>
    <w:p w:rsidR="00C11745" w:rsidRPr="002A1797" w:rsidRDefault="00C11745" w:rsidP="00C11745">
      <w:pPr>
        <w:ind w:right="-514"/>
        <w:jc w:val="both"/>
        <w:rPr>
          <w:rFonts w:ascii="Arial" w:hAnsi="Arial" w:cs="Arial"/>
          <w:b/>
          <w:bCs/>
        </w:rPr>
      </w:pPr>
    </w:p>
    <w:p w:rsidR="002D035C" w:rsidRDefault="00C11745" w:rsidP="00C11745">
      <w:pPr>
        <w:ind w:right="-514"/>
        <w:jc w:val="both"/>
        <w:rPr>
          <w:rFonts w:ascii="Arial" w:hAnsi="Arial" w:cs="Arial"/>
        </w:rPr>
      </w:pPr>
      <w:r w:rsidRPr="002A1797">
        <w:rPr>
          <w:rFonts w:ascii="Arial" w:hAnsi="Arial" w:cs="Arial"/>
        </w:rPr>
        <w:t>Parents of children/young people</w:t>
      </w:r>
      <w:r w:rsidR="001A06EE" w:rsidRPr="002A1797">
        <w:rPr>
          <w:rFonts w:ascii="Arial" w:hAnsi="Arial" w:cs="Arial"/>
        </w:rPr>
        <w:t>,</w:t>
      </w:r>
      <w:r w:rsidR="00713D00">
        <w:rPr>
          <w:rFonts w:ascii="Arial" w:hAnsi="Arial" w:cs="Arial"/>
        </w:rPr>
        <w:t xml:space="preserve"> who were </w:t>
      </w:r>
      <w:r w:rsidR="00713D00" w:rsidRPr="002A1797">
        <w:rPr>
          <w:rFonts w:ascii="Arial" w:hAnsi="Arial" w:cs="Arial"/>
        </w:rPr>
        <w:t>identified</w:t>
      </w:r>
      <w:r w:rsidR="003F1796">
        <w:rPr>
          <w:rFonts w:ascii="Arial" w:hAnsi="Arial" w:cs="Arial"/>
        </w:rPr>
        <w:t xml:space="preserve"> as being prioritised </w:t>
      </w:r>
      <w:r w:rsidR="00BC6715">
        <w:rPr>
          <w:rFonts w:ascii="Arial" w:hAnsi="Arial" w:cs="Arial"/>
        </w:rPr>
        <w:t xml:space="preserve">for </w:t>
      </w:r>
      <w:r w:rsidR="00BC6715" w:rsidRPr="002A1797">
        <w:rPr>
          <w:rFonts w:ascii="Arial" w:hAnsi="Arial" w:cs="Arial"/>
        </w:rPr>
        <w:t>a</w:t>
      </w:r>
      <w:r w:rsidRPr="002A1797">
        <w:rPr>
          <w:rFonts w:ascii="Arial" w:hAnsi="Arial" w:cs="Arial"/>
        </w:rPr>
        <w:t xml:space="preserve"> transfer </w:t>
      </w:r>
      <w:r w:rsidR="003F1796" w:rsidRPr="002A1797">
        <w:rPr>
          <w:rFonts w:ascii="Arial" w:hAnsi="Arial" w:cs="Arial"/>
        </w:rPr>
        <w:t>review,</w:t>
      </w:r>
      <w:r w:rsidR="00713D00">
        <w:rPr>
          <w:rFonts w:ascii="Arial" w:hAnsi="Arial" w:cs="Arial"/>
        </w:rPr>
        <w:t xml:space="preserve"> were informed by their child’s school via</w:t>
      </w:r>
      <w:r w:rsidR="00052441">
        <w:rPr>
          <w:rFonts w:ascii="Arial" w:hAnsi="Arial" w:cs="Arial"/>
        </w:rPr>
        <w:t>.</w:t>
      </w:r>
      <w:r w:rsidRPr="002A1797">
        <w:rPr>
          <w:rFonts w:ascii="Arial" w:hAnsi="Arial" w:cs="Arial"/>
        </w:rPr>
        <w:t xml:space="preserve"> </w:t>
      </w:r>
      <w:proofErr w:type="gramStart"/>
      <w:r w:rsidRPr="002A1797">
        <w:rPr>
          <w:rFonts w:ascii="Arial" w:hAnsi="Arial" w:cs="Arial"/>
        </w:rPr>
        <w:t>a</w:t>
      </w:r>
      <w:proofErr w:type="gramEnd"/>
      <w:r w:rsidRPr="002A1797">
        <w:rPr>
          <w:rFonts w:ascii="Arial" w:hAnsi="Arial" w:cs="Arial"/>
        </w:rPr>
        <w:t xml:space="preserve"> standard lett</w:t>
      </w:r>
      <w:r w:rsidR="00713D00">
        <w:rPr>
          <w:rFonts w:ascii="Arial" w:hAnsi="Arial" w:cs="Arial"/>
        </w:rPr>
        <w:t xml:space="preserve">er explaining the process in full. This letter </w:t>
      </w:r>
      <w:r w:rsidR="00713D00" w:rsidRPr="002A1797">
        <w:rPr>
          <w:rFonts w:ascii="Arial" w:hAnsi="Arial" w:cs="Arial"/>
        </w:rPr>
        <w:t>included</w:t>
      </w:r>
      <w:r w:rsidRPr="002A1797">
        <w:rPr>
          <w:rFonts w:ascii="Arial" w:hAnsi="Arial" w:cs="Arial"/>
        </w:rPr>
        <w:t xml:space="preserve"> contact details and information about Wirral </w:t>
      </w:r>
      <w:r w:rsidR="00F763C0">
        <w:rPr>
          <w:rFonts w:ascii="Arial" w:hAnsi="Arial" w:cs="Arial"/>
        </w:rPr>
        <w:t xml:space="preserve">SEND </w:t>
      </w:r>
      <w:r w:rsidR="00713D00">
        <w:rPr>
          <w:rFonts w:ascii="Arial" w:hAnsi="Arial" w:cs="Arial"/>
        </w:rPr>
        <w:t>Partnership</w:t>
      </w:r>
      <w:r w:rsidR="00AF56BB">
        <w:rPr>
          <w:rFonts w:ascii="Arial" w:hAnsi="Arial" w:cs="Arial"/>
        </w:rPr>
        <w:t xml:space="preserve"> (Wirral’s Parent Partnership)</w:t>
      </w:r>
      <w:r w:rsidR="00F763C0">
        <w:rPr>
          <w:rFonts w:ascii="Arial" w:hAnsi="Arial" w:cs="Arial"/>
        </w:rPr>
        <w:t xml:space="preserve">, </w:t>
      </w:r>
      <w:r w:rsidR="00F763C0" w:rsidRPr="002A1797">
        <w:rPr>
          <w:rFonts w:ascii="Arial" w:hAnsi="Arial" w:cs="Arial"/>
        </w:rPr>
        <w:t>and</w:t>
      </w:r>
      <w:r w:rsidR="00713D00">
        <w:rPr>
          <w:rFonts w:ascii="Arial" w:hAnsi="Arial" w:cs="Arial"/>
        </w:rPr>
        <w:t xml:space="preserve"> the Independent </w:t>
      </w:r>
      <w:r w:rsidR="00BC6715">
        <w:rPr>
          <w:rFonts w:ascii="Arial" w:hAnsi="Arial" w:cs="Arial"/>
        </w:rPr>
        <w:t>Supporters.</w:t>
      </w:r>
    </w:p>
    <w:p w:rsidR="002D035C" w:rsidRDefault="002D035C" w:rsidP="00C11745">
      <w:pPr>
        <w:ind w:right="-514"/>
        <w:jc w:val="both"/>
        <w:rPr>
          <w:rFonts w:ascii="Arial" w:hAnsi="Arial" w:cs="Arial"/>
        </w:rPr>
      </w:pPr>
    </w:p>
    <w:p w:rsidR="00C11745" w:rsidRPr="00E437B1" w:rsidRDefault="00E437B1" w:rsidP="00E437B1">
      <w:pPr>
        <w:pStyle w:val="ListParagraph"/>
        <w:numPr>
          <w:ilvl w:val="0"/>
          <w:numId w:val="18"/>
        </w:numPr>
        <w:ind w:right="-514"/>
        <w:jc w:val="both"/>
        <w:rPr>
          <w:rFonts w:ascii="Arial" w:hAnsi="Arial" w:cs="Arial"/>
          <w:b/>
          <w:bCs/>
        </w:rPr>
      </w:pPr>
      <w:r w:rsidRPr="00E437B1">
        <w:rPr>
          <w:rFonts w:ascii="Arial" w:hAnsi="Arial" w:cs="Arial"/>
          <w:b/>
          <w:bCs/>
        </w:rPr>
        <w:t>What Actually Happens during The Transfer</w:t>
      </w:r>
      <w:r w:rsidR="00C11745" w:rsidRPr="00E437B1">
        <w:rPr>
          <w:rFonts w:ascii="Arial" w:hAnsi="Arial" w:cs="Arial"/>
          <w:b/>
          <w:bCs/>
        </w:rPr>
        <w:t xml:space="preserve"> Review Process </w:t>
      </w:r>
    </w:p>
    <w:p w:rsidR="00C11745" w:rsidRPr="002A1797" w:rsidRDefault="00C11745" w:rsidP="00C11745">
      <w:pPr>
        <w:ind w:right="-514"/>
        <w:jc w:val="both"/>
        <w:rPr>
          <w:rFonts w:ascii="Arial" w:hAnsi="Arial" w:cs="Arial"/>
          <w:b/>
          <w:bCs/>
        </w:rPr>
      </w:pPr>
    </w:p>
    <w:p w:rsidR="00C11745" w:rsidRDefault="00713D00" w:rsidP="00C11745">
      <w:pPr>
        <w:ind w:right="-514"/>
        <w:jc w:val="both"/>
        <w:rPr>
          <w:rFonts w:ascii="Arial" w:hAnsi="Arial" w:cs="Arial"/>
        </w:rPr>
      </w:pPr>
      <w:r>
        <w:rPr>
          <w:rFonts w:ascii="Arial" w:hAnsi="Arial" w:cs="Arial"/>
        </w:rPr>
        <w:t>The LA</w:t>
      </w:r>
      <w:r w:rsidR="00C11745" w:rsidRPr="002A1797">
        <w:rPr>
          <w:rFonts w:ascii="Arial" w:hAnsi="Arial" w:cs="Arial"/>
        </w:rPr>
        <w:t xml:space="preserve"> use</w:t>
      </w:r>
      <w:r>
        <w:rPr>
          <w:rFonts w:ascii="Arial" w:hAnsi="Arial" w:cs="Arial"/>
        </w:rPr>
        <w:t>d</w:t>
      </w:r>
      <w:r w:rsidR="00C11745" w:rsidRPr="002A1797">
        <w:rPr>
          <w:rFonts w:ascii="Arial" w:hAnsi="Arial" w:cs="Arial"/>
        </w:rPr>
        <w:t xml:space="preserve"> the </w:t>
      </w:r>
      <w:r w:rsidR="00701313">
        <w:rPr>
          <w:rFonts w:ascii="Arial" w:hAnsi="Arial" w:cs="Arial"/>
        </w:rPr>
        <w:t>existing Annual Review process</w:t>
      </w:r>
      <w:r w:rsidR="00C11745" w:rsidRPr="002A1797">
        <w:rPr>
          <w:rFonts w:ascii="Arial" w:hAnsi="Arial" w:cs="Arial"/>
        </w:rPr>
        <w:t xml:space="preserve"> </w:t>
      </w:r>
      <w:r w:rsidR="00AF56BB">
        <w:rPr>
          <w:rFonts w:ascii="Arial" w:hAnsi="Arial" w:cs="Arial"/>
        </w:rPr>
        <w:t xml:space="preserve">to transfer </w:t>
      </w:r>
      <w:r w:rsidR="00C11745" w:rsidRPr="002A1797">
        <w:rPr>
          <w:rFonts w:ascii="Arial" w:hAnsi="Arial" w:cs="Arial"/>
        </w:rPr>
        <w:t>children</w:t>
      </w:r>
      <w:r w:rsidR="00AF56BB">
        <w:rPr>
          <w:rFonts w:ascii="Arial" w:hAnsi="Arial" w:cs="Arial"/>
        </w:rPr>
        <w:t xml:space="preserve"> to the new system.</w:t>
      </w:r>
      <w:r w:rsidR="00C11745" w:rsidRPr="002A1797">
        <w:rPr>
          <w:rFonts w:ascii="Arial" w:hAnsi="Arial" w:cs="Arial"/>
        </w:rPr>
        <w:t xml:space="preserve"> Scho</w:t>
      </w:r>
      <w:r>
        <w:rPr>
          <w:rFonts w:ascii="Arial" w:hAnsi="Arial" w:cs="Arial"/>
        </w:rPr>
        <w:t>ols and specialist teams were</w:t>
      </w:r>
      <w:r w:rsidR="00C11745" w:rsidRPr="002A1797">
        <w:rPr>
          <w:rFonts w:ascii="Arial" w:hAnsi="Arial" w:cs="Arial"/>
        </w:rPr>
        <w:t xml:space="preserve"> briefed </w:t>
      </w:r>
      <w:r w:rsidR="002D035C">
        <w:rPr>
          <w:rFonts w:ascii="Arial" w:hAnsi="Arial" w:cs="Arial"/>
        </w:rPr>
        <w:t xml:space="preserve">by LA officers </w:t>
      </w:r>
      <w:r w:rsidR="00C11745" w:rsidRPr="002A1797">
        <w:rPr>
          <w:rFonts w:ascii="Arial" w:hAnsi="Arial" w:cs="Arial"/>
        </w:rPr>
        <w:t>regarding these changes</w:t>
      </w:r>
      <w:r w:rsidR="00AF56BB">
        <w:rPr>
          <w:rFonts w:ascii="Arial" w:hAnsi="Arial" w:cs="Arial"/>
        </w:rPr>
        <w:t>.</w:t>
      </w:r>
    </w:p>
    <w:p w:rsidR="00AF56BB" w:rsidRPr="002A1797" w:rsidRDefault="00AF56BB" w:rsidP="00C11745">
      <w:pPr>
        <w:ind w:right="-514"/>
        <w:jc w:val="both"/>
        <w:rPr>
          <w:rFonts w:ascii="Arial" w:hAnsi="Arial" w:cs="Arial"/>
        </w:rPr>
      </w:pPr>
    </w:p>
    <w:p w:rsidR="00701313" w:rsidRDefault="00701313" w:rsidP="00C11745">
      <w:pPr>
        <w:ind w:right="-514"/>
        <w:jc w:val="both"/>
        <w:rPr>
          <w:rFonts w:ascii="Arial" w:hAnsi="Arial" w:cs="Arial"/>
        </w:rPr>
      </w:pPr>
      <w:r>
        <w:rPr>
          <w:rFonts w:ascii="Arial" w:hAnsi="Arial" w:cs="Arial"/>
        </w:rPr>
        <w:t>Other professionals and p</w:t>
      </w:r>
      <w:r w:rsidR="00C11745" w:rsidRPr="002A1797">
        <w:rPr>
          <w:rFonts w:ascii="Arial" w:hAnsi="Arial" w:cs="Arial"/>
        </w:rPr>
        <w:t xml:space="preserve">artners, </w:t>
      </w:r>
      <w:r>
        <w:rPr>
          <w:rFonts w:ascii="Arial" w:hAnsi="Arial" w:cs="Arial"/>
        </w:rPr>
        <w:t xml:space="preserve">in </w:t>
      </w:r>
      <w:r w:rsidR="00713D00">
        <w:rPr>
          <w:rFonts w:ascii="Arial" w:hAnsi="Arial" w:cs="Arial"/>
        </w:rPr>
        <w:t>health and social care, were briefed about the change</w:t>
      </w:r>
      <w:r w:rsidR="00AF56BB">
        <w:rPr>
          <w:rFonts w:ascii="Arial" w:hAnsi="Arial" w:cs="Arial"/>
        </w:rPr>
        <w:t>d</w:t>
      </w:r>
      <w:r w:rsidR="00713D00">
        <w:rPr>
          <w:rFonts w:ascii="Arial" w:hAnsi="Arial" w:cs="Arial"/>
        </w:rPr>
        <w:t xml:space="preserve"> expectations on their services</w:t>
      </w:r>
      <w:r w:rsidR="00CC6E4D">
        <w:rPr>
          <w:rFonts w:ascii="Arial" w:hAnsi="Arial" w:cs="Arial"/>
        </w:rPr>
        <w:t>,</w:t>
      </w:r>
      <w:r w:rsidR="00713D00">
        <w:rPr>
          <w:rFonts w:ascii="Arial" w:hAnsi="Arial" w:cs="Arial"/>
        </w:rPr>
        <w:t xml:space="preserve"> in particular the requirement on them to either</w:t>
      </w:r>
      <w:r w:rsidR="00CC6E4D">
        <w:rPr>
          <w:rFonts w:ascii="Arial" w:hAnsi="Arial" w:cs="Arial"/>
        </w:rPr>
        <w:t>,</w:t>
      </w:r>
      <w:r w:rsidR="00713D00">
        <w:rPr>
          <w:rFonts w:ascii="Arial" w:hAnsi="Arial" w:cs="Arial"/>
        </w:rPr>
        <w:t xml:space="preserve"> attend the transfer</w:t>
      </w:r>
      <w:r w:rsidR="00CC6E4D">
        <w:rPr>
          <w:rFonts w:ascii="Arial" w:hAnsi="Arial" w:cs="Arial"/>
        </w:rPr>
        <w:t xml:space="preserve"> review or provide</w:t>
      </w:r>
      <w:r w:rsidR="00713D00">
        <w:rPr>
          <w:rFonts w:ascii="Arial" w:hAnsi="Arial" w:cs="Arial"/>
        </w:rPr>
        <w:t xml:space="preserve"> a</w:t>
      </w:r>
      <w:r w:rsidR="00CC6E4D">
        <w:rPr>
          <w:rFonts w:ascii="Arial" w:hAnsi="Arial" w:cs="Arial"/>
        </w:rPr>
        <w:t xml:space="preserve"> current</w:t>
      </w:r>
      <w:r w:rsidR="00713D00">
        <w:rPr>
          <w:rFonts w:ascii="Arial" w:hAnsi="Arial" w:cs="Arial"/>
        </w:rPr>
        <w:t xml:space="preserve"> report commenting on the appropriateness and relevance of the advice</w:t>
      </w:r>
      <w:r w:rsidR="00CC6E4D">
        <w:rPr>
          <w:rFonts w:ascii="Arial" w:hAnsi="Arial" w:cs="Arial"/>
        </w:rPr>
        <w:t xml:space="preserve"> they have given about </w:t>
      </w:r>
      <w:r w:rsidR="00713D00">
        <w:rPr>
          <w:rFonts w:ascii="Arial" w:hAnsi="Arial" w:cs="Arial"/>
        </w:rPr>
        <w:t xml:space="preserve">the child or young </w:t>
      </w:r>
      <w:r w:rsidR="00E437B1">
        <w:rPr>
          <w:rFonts w:ascii="Arial" w:hAnsi="Arial" w:cs="Arial"/>
        </w:rPr>
        <w:t xml:space="preserve">person. The Designated Clinical Officer has played a key role in helping Health </w:t>
      </w:r>
      <w:proofErr w:type="gramStart"/>
      <w:r w:rsidR="00E437B1">
        <w:rPr>
          <w:rFonts w:ascii="Arial" w:hAnsi="Arial" w:cs="Arial"/>
        </w:rPr>
        <w:lastRenderedPageBreak/>
        <w:t>partners</w:t>
      </w:r>
      <w:proofErr w:type="gramEnd"/>
      <w:r w:rsidR="00E437B1">
        <w:rPr>
          <w:rFonts w:ascii="Arial" w:hAnsi="Arial" w:cs="Arial"/>
        </w:rPr>
        <w:t xml:space="preserve"> priorities attendance at meetings and production of additional information if needed.</w:t>
      </w:r>
    </w:p>
    <w:p w:rsidR="00C11745" w:rsidRPr="002A1797" w:rsidRDefault="00C11745" w:rsidP="00C11745">
      <w:pPr>
        <w:ind w:right="-514"/>
        <w:jc w:val="both"/>
        <w:rPr>
          <w:rFonts w:ascii="Arial" w:hAnsi="Arial" w:cs="Arial"/>
        </w:rPr>
      </w:pPr>
    </w:p>
    <w:p w:rsidR="00284BC4" w:rsidRDefault="00BC6715" w:rsidP="00C11745">
      <w:pPr>
        <w:ind w:right="-514"/>
        <w:jc w:val="both"/>
        <w:rPr>
          <w:rFonts w:ascii="Arial" w:hAnsi="Arial" w:cs="Arial"/>
        </w:rPr>
      </w:pPr>
      <w:r w:rsidRPr="002A1797">
        <w:rPr>
          <w:rFonts w:ascii="Arial" w:hAnsi="Arial" w:cs="Arial"/>
        </w:rPr>
        <w:t>Transfer</w:t>
      </w:r>
      <w:r w:rsidR="00E37F9C">
        <w:rPr>
          <w:rFonts w:ascii="Arial" w:hAnsi="Arial" w:cs="Arial"/>
        </w:rPr>
        <w:t xml:space="preserve"> review </w:t>
      </w:r>
      <w:r w:rsidR="00C11745" w:rsidRPr="002A1797">
        <w:rPr>
          <w:rFonts w:ascii="Arial" w:hAnsi="Arial" w:cs="Arial"/>
        </w:rPr>
        <w:t>meeting</w:t>
      </w:r>
      <w:r>
        <w:rPr>
          <w:rFonts w:ascii="Arial" w:hAnsi="Arial" w:cs="Arial"/>
        </w:rPr>
        <w:t>s</w:t>
      </w:r>
      <w:r w:rsidR="00CC6E4D">
        <w:rPr>
          <w:rFonts w:ascii="Arial" w:hAnsi="Arial" w:cs="Arial"/>
        </w:rPr>
        <w:t xml:space="preserve"> took place for all those whose statement was being transferred to an EHCP</w:t>
      </w:r>
      <w:r w:rsidR="00CC6E4D" w:rsidRPr="002A1797">
        <w:rPr>
          <w:rFonts w:ascii="Arial" w:hAnsi="Arial" w:cs="Arial"/>
        </w:rPr>
        <w:t>.</w:t>
      </w:r>
    </w:p>
    <w:p w:rsidR="00AF56BB" w:rsidRDefault="00AF56BB" w:rsidP="00C11745">
      <w:pPr>
        <w:ind w:right="-514"/>
        <w:jc w:val="both"/>
        <w:rPr>
          <w:rFonts w:ascii="Arial" w:hAnsi="Arial" w:cs="Arial"/>
        </w:rPr>
      </w:pPr>
    </w:p>
    <w:p w:rsidR="00BC6715" w:rsidRDefault="00C11745" w:rsidP="000E4ADB">
      <w:pPr>
        <w:rPr>
          <w:rFonts w:ascii="Arial" w:hAnsi="Arial" w:cs="Arial"/>
        </w:rPr>
      </w:pPr>
      <w:r w:rsidRPr="002A1797">
        <w:rPr>
          <w:rFonts w:ascii="Arial" w:hAnsi="Arial" w:cs="Arial"/>
        </w:rPr>
        <w:t>Annual reviews</w:t>
      </w:r>
      <w:r w:rsidR="00CC6E4D">
        <w:rPr>
          <w:rFonts w:ascii="Arial" w:hAnsi="Arial" w:cs="Arial"/>
        </w:rPr>
        <w:t xml:space="preserve"> meetings</w:t>
      </w:r>
      <w:r w:rsidR="003F1796">
        <w:rPr>
          <w:rFonts w:ascii="Arial" w:hAnsi="Arial" w:cs="Arial"/>
        </w:rPr>
        <w:t xml:space="preserve"> continued  </w:t>
      </w:r>
      <w:r w:rsidRPr="002A1797">
        <w:rPr>
          <w:rFonts w:ascii="Arial" w:hAnsi="Arial" w:cs="Arial"/>
        </w:rPr>
        <w:t xml:space="preserve"> for children and young people whose statements are not being transferred. </w:t>
      </w:r>
    </w:p>
    <w:p w:rsidR="00BC6715" w:rsidRDefault="00C11745" w:rsidP="000E4ADB">
      <w:pPr>
        <w:rPr>
          <w:rFonts w:ascii="Arial" w:hAnsi="Arial" w:cs="Arial"/>
        </w:rPr>
      </w:pPr>
      <w:r w:rsidRPr="002A1797">
        <w:rPr>
          <w:rFonts w:ascii="Arial" w:hAnsi="Arial" w:cs="Arial"/>
        </w:rPr>
        <w:t> </w:t>
      </w:r>
    </w:p>
    <w:p w:rsidR="000E4ADB" w:rsidRDefault="00C11745" w:rsidP="000E4ADB">
      <w:pPr>
        <w:rPr>
          <w:rFonts w:ascii="Arial" w:hAnsi="Arial" w:cs="Arial"/>
        </w:rPr>
      </w:pPr>
      <w:r w:rsidRPr="002A1797">
        <w:rPr>
          <w:rFonts w:ascii="Arial" w:hAnsi="Arial" w:cs="Arial"/>
        </w:rPr>
        <w:t>School</w:t>
      </w:r>
      <w:r w:rsidR="003F1796">
        <w:rPr>
          <w:rFonts w:ascii="Arial" w:hAnsi="Arial" w:cs="Arial"/>
        </w:rPr>
        <w:t>s</w:t>
      </w:r>
      <w:r w:rsidRPr="002A1797">
        <w:rPr>
          <w:rFonts w:ascii="Arial" w:hAnsi="Arial" w:cs="Arial"/>
        </w:rPr>
        <w:t xml:space="preserve"> </w:t>
      </w:r>
      <w:r w:rsidR="003F1796" w:rsidRPr="002A1797">
        <w:rPr>
          <w:rFonts w:ascii="Arial" w:hAnsi="Arial" w:cs="Arial"/>
        </w:rPr>
        <w:t xml:space="preserve">set </w:t>
      </w:r>
      <w:r w:rsidR="003F1796">
        <w:rPr>
          <w:rFonts w:ascii="Arial" w:hAnsi="Arial" w:cs="Arial"/>
        </w:rPr>
        <w:t xml:space="preserve">the </w:t>
      </w:r>
      <w:r w:rsidRPr="002A1797">
        <w:rPr>
          <w:rFonts w:ascii="Arial" w:hAnsi="Arial" w:cs="Arial"/>
        </w:rPr>
        <w:t>dates for</w:t>
      </w:r>
      <w:r w:rsidR="00CC6E4D">
        <w:rPr>
          <w:rFonts w:ascii="Arial" w:hAnsi="Arial" w:cs="Arial"/>
        </w:rPr>
        <w:t xml:space="preserve"> both </w:t>
      </w:r>
      <w:r w:rsidR="00CC6E4D" w:rsidRPr="002A1797">
        <w:rPr>
          <w:rFonts w:ascii="Arial" w:hAnsi="Arial" w:cs="Arial"/>
        </w:rPr>
        <w:t>transfer</w:t>
      </w:r>
      <w:r w:rsidR="00E37F9C">
        <w:rPr>
          <w:rFonts w:ascii="Arial" w:hAnsi="Arial" w:cs="Arial"/>
        </w:rPr>
        <w:t xml:space="preserve"> </w:t>
      </w:r>
      <w:r w:rsidR="003F1796">
        <w:rPr>
          <w:rFonts w:ascii="Arial" w:hAnsi="Arial" w:cs="Arial"/>
        </w:rPr>
        <w:t xml:space="preserve">review </w:t>
      </w:r>
      <w:r w:rsidR="003F1796" w:rsidRPr="002A1797">
        <w:rPr>
          <w:rFonts w:ascii="Arial" w:hAnsi="Arial" w:cs="Arial"/>
        </w:rPr>
        <w:t>and</w:t>
      </w:r>
      <w:r w:rsidRPr="002A1797">
        <w:rPr>
          <w:rFonts w:ascii="Arial" w:hAnsi="Arial" w:cs="Arial"/>
        </w:rPr>
        <w:t xml:space="preserve"> annual reviews </w:t>
      </w:r>
      <w:r w:rsidR="00A8007A">
        <w:rPr>
          <w:rFonts w:ascii="Arial" w:hAnsi="Arial" w:cs="Arial"/>
        </w:rPr>
        <w:t xml:space="preserve">scheduled </w:t>
      </w:r>
      <w:r w:rsidRPr="002A1797">
        <w:rPr>
          <w:rFonts w:ascii="Arial" w:hAnsi="Arial" w:cs="Arial"/>
        </w:rPr>
        <w:t>for 2014/2015</w:t>
      </w:r>
      <w:r w:rsidR="000E4ADB" w:rsidRPr="000E4ADB">
        <w:rPr>
          <w:rFonts w:ascii="Arial" w:hAnsi="Arial" w:cs="Arial"/>
        </w:rPr>
        <w:t xml:space="preserve"> </w:t>
      </w:r>
      <w:r w:rsidR="000E4ADB">
        <w:rPr>
          <w:rFonts w:ascii="Arial" w:hAnsi="Arial" w:cs="Arial"/>
        </w:rPr>
        <w:t>In the autumn term, both local FE Colleges received training</w:t>
      </w:r>
      <w:r w:rsidR="000E4ADB" w:rsidRPr="004B000F">
        <w:rPr>
          <w:rFonts w:ascii="Arial" w:hAnsi="Arial" w:cs="Arial"/>
        </w:rPr>
        <w:t xml:space="preserve"> fo</w:t>
      </w:r>
      <w:r w:rsidR="000E4ADB">
        <w:rPr>
          <w:rFonts w:ascii="Arial" w:hAnsi="Arial" w:cs="Arial"/>
        </w:rPr>
        <w:t>r their relevant staff,</w:t>
      </w:r>
      <w:r w:rsidR="000E4ADB" w:rsidRPr="004B000F">
        <w:rPr>
          <w:rFonts w:ascii="Arial" w:hAnsi="Arial" w:cs="Arial"/>
        </w:rPr>
        <w:t xml:space="preserve"> on person centred</w:t>
      </w:r>
      <w:r w:rsidR="000E4ADB">
        <w:rPr>
          <w:rFonts w:ascii="Arial" w:hAnsi="Arial" w:cs="Arial"/>
        </w:rPr>
        <w:t xml:space="preserve"> review facilitation, so they were in </w:t>
      </w:r>
      <w:r w:rsidR="000E4ADB" w:rsidRPr="004B000F">
        <w:rPr>
          <w:rFonts w:ascii="Arial" w:hAnsi="Arial" w:cs="Arial"/>
        </w:rPr>
        <w:t xml:space="preserve">a position to facilitate transfer </w:t>
      </w:r>
      <w:r w:rsidR="003F1796" w:rsidRPr="004B000F">
        <w:rPr>
          <w:rFonts w:ascii="Arial" w:hAnsi="Arial" w:cs="Arial"/>
        </w:rPr>
        <w:t>reviews.</w:t>
      </w:r>
      <w:r w:rsidR="003F1796">
        <w:rPr>
          <w:rFonts w:ascii="Arial" w:hAnsi="Arial" w:cs="Arial"/>
        </w:rPr>
        <w:t xml:space="preserve"> A briefing for Early Years se</w:t>
      </w:r>
      <w:r w:rsidR="00327E5D">
        <w:rPr>
          <w:rFonts w:ascii="Arial" w:hAnsi="Arial" w:cs="Arial"/>
        </w:rPr>
        <w:t>ttings was held in February 2015</w:t>
      </w:r>
      <w:r w:rsidR="003F1796">
        <w:rPr>
          <w:rFonts w:ascii="Arial" w:hAnsi="Arial" w:cs="Arial"/>
        </w:rPr>
        <w:t>.</w:t>
      </w:r>
    </w:p>
    <w:p w:rsidR="00A8007A" w:rsidRDefault="00A8007A" w:rsidP="00C11745">
      <w:pPr>
        <w:ind w:right="-514"/>
        <w:jc w:val="both"/>
        <w:rPr>
          <w:rFonts w:ascii="Arial" w:hAnsi="Arial" w:cs="Arial"/>
        </w:rPr>
      </w:pPr>
    </w:p>
    <w:p w:rsidR="00CC6E4D" w:rsidRDefault="00CC6E4D" w:rsidP="00C11745">
      <w:pPr>
        <w:ind w:right="-514"/>
        <w:jc w:val="both"/>
        <w:rPr>
          <w:rFonts w:ascii="Arial" w:hAnsi="Arial" w:cs="Arial"/>
        </w:rPr>
      </w:pPr>
      <w:r>
        <w:rPr>
          <w:rFonts w:ascii="Arial" w:hAnsi="Arial" w:cs="Arial"/>
        </w:rPr>
        <w:t>All transfer reviews were attended by either the schools Educational Psychologist and</w:t>
      </w:r>
      <w:r w:rsidR="00327E5D">
        <w:rPr>
          <w:rFonts w:ascii="Arial" w:hAnsi="Arial" w:cs="Arial"/>
        </w:rPr>
        <w:t>/o</w:t>
      </w:r>
      <w:r>
        <w:rPr>
          <w:rFonts w:ascii="Arial" w:hAnsi="Arial" w:cs="Arial"/>
        </w:rPr>
        <w:t>r their EHCP Co-ordinator.</w:t>
      </w:r>
    </w:p>
    <w:p w:rsidR="00A8007A" w:rsidRDefault="00A8007A" w:rsidP="00C11745">
      <w:pPr>
        <w:ind w:right="-514"/>
        <w:jc w:val="both"/>
        <w:rPr>
          <w:rFonts w:ascii="Arial" w:hAnsi="Arial" w:cs="Arial"/>
          <w:b/>
        </w:rPr>
      </w:pPr>
    </w:p>
    <w:p w:rsidR="00744DB4" w:rsidRPr="00744DB4" w:rsidRDefault="003F1796" w:rsidP="00C11745">
      <w:pPr>
        <w:ind w:right="-514"/>
        <w:jc w:val="both"/>
        <w:rPr>
          <w:rFonts w:ascii="Arial" w:hAnsi="Arial" w:cs="Arial"/>
          <w:b/>
        </w:rPr>
      </w:pPr>
      <w:r>
        <w:rPr>
          <w:rFonts w:ascii="Arial" w:hAnsi="Arial" w:cs="Arial"/>
          <w:b/>
        </w:rPr>
        <w:t xml:space="preserve">Priority </w:t>
      </w:r>
      <w:r w:rsidR="00155FED">
        <w:rPr>
          <w:rFonts w:ascii="Arial" w:hAnsi="Arial" w:cs="Arial"/>
          <w:b/>
        </w:rPr>
        <w:t>Groups for</w:t>
      </w:r>
      <w:r w:rsidR="00CC6E4D">
        <w:rPr>
          <w:rFonts w:ascii="Arial" w:hAnsi="Arial" w:cs="Arial"/>
          <w:b/>
        </w:rPr>
        <w:t xml:space="preserve"> Transfer to the new system</w:t>
      </w:r>
      <w:r w:rsidR="00954B42">
        <w:rPr>
          <w:rFonts w:ascii="Arial" w:hAnsi="Arial" w:cs="Arial"/>
          <w:b/>
        </w:rPr>
        <w:t xml:space="preserve"> 2014-2015</w:t>
      </w:r>
    </w:p>
    <w:p w:rsidR="00744DB4" w:rsidRDefault="00744DB4" w:rsidP="00C11745">
      <w:pPr>
        <w:ind w:right="-514"/>
        <w:jc w:val="both"/>
        <w:rPr>
          <w:rFonts w:ascii="Arial" w:hAnsi="Arial" w:cs="Arial"/>
        </w:rPr>
      </w:pPr>
    </w:p>
    <w:p w:rsidR="003A1494" w:rsidRDefault="00155FED" w:rsidP="003A1494">
      <w:pPr>
        <w:ind w:right="-514"/>
        <w:jc w:val="both"/>
        <w:rPr>
          <w:rFonts w:ascii="Arial" w:hAnsi="Arial" w:cs="Arial"/>
        </w:rPr>
      </w:pPr>
      <w:r>
        <w:rPr>
          <w:rFonts w:ascii="Arial" w:hAnsi="Arial" w:cs="Arial"/>
        </w:rPr>
        <w:t>In accordance</w:t>
      </w:r>
      <w:r w:rsidR="009D1B46" w:rsidRPr="00C80360">
        <w:rPr>
          <w:rFonts w:ascii="Arial" w:hAnsi="Arial" w:cs="Arial"/>
        </w:rPr>
        <w:t xml:space="preserve"> to the guidance</w:t>
      </w:r>
      <w:r w:rsidR="00A8007A">
        <w:rPr>
          <w:rFonts w:ascii="Arial" w:hAnsi="Arial" w:cs="Arial"/>
        </w:rPr>
        <w:t xml:space="preserve"> p</w:t>
      </w:r>
      <w:r w:rsidR="00CC6E4D">
        <w:rPr>
          <w:rFonts w:ascii="Arial" w:hAnsi="Arial" w:cs="Arial"/>
        </w:rPr>
        <w:t>ublish</w:t>
      </w:r>
      <w:r w:rsidR="0088432E">
        <w:rPr>
          <w:rFonts w:ascii="Arial" w:hAnsi="Arial" w:cs="Arial"/>
        </w:rPr>
        <w:t xml:space="preserve">ed by the </w:t>
      </w:r>
      <w:proofErr w:type="spellStart"/>
      <w:r w:rsidR="0088432E">
        <w:rPr>
          <w:rFonts w:ascii="Arial" w:hAnsi="Arial" w:cs="Arial"/>
        </w:rPr>
        <w:t>DfE</w:t>
      </w:r>
      <w:proofErr w:type="spellEnd"/>
      <w:r w:rsidR="0088432E">
        <w:rPr>
          <w:rFonts w:ascii="Arial" w:hAnsi="Arial" w:cs="Arial"/>
        </w:rPr>
        <w:t xml:space="preserve"> in August 2</w:t>
      </w:r>
      <w:r w:rsidR="00A26961">
        <w:rPr>
          <w:rFonts w:ascii="Arial" w:hAnsi="Arial" w:cs="Arial"/>
        </w:rPr>
        <w:t xml:space="preserve">014 </w:t>
      </w:r>
      <w:r w:rsidR="00BC6715">
        <w:rPr>
          <w:rFonts w:ascii="Arial" w:hAnsi="Arial" w:cs="Arial"/>
        </w:rPr>
        <w:t>Wirral LA</w:t>
      </w:r>
      <w:r w:rsidR="00816229">
        <w:rPr>
          <w:rFonts w:ascii="Arial" w:hAnsi="Arial" w:cs="Arial"/>
        </w:rPr>
        <w:t xml:space="preserve"> </w:t>
      </w:r>
      <w:r>
        <w:rPr>
          <w:rFonts w:ascii="Arial" w:hAnsi="Arial" w:cs="Arial"/>
        </w:rPr>
        <w:t xml:space="preserve">prioritized the transfer </w:t>
      </w:r>
      <w:r w:rsidR="00954B42">
        <w:rPr>
          <w:rFonts w:ascii="Arial" w:hAnsi="Arial" w:cs="Arial"/>
        </w:rPr>
        <w:t>of the</w:t>
      </w:r>
      <w:r w:rsidR="009D1B46" w:rsidRPr="00C80360">
        <w:rPr>
          <w:rFonts w:ascii="Arial" w:hAnsi="Arial" w:cs="Arial"/>
        </w:rPr>
        <w:t xml:space="preserve"> following groups of childr</w:t>
      </w:r>
      <w:r w:rsidR="00E451FE">
        <w:rPr>
          <w:rFonts w:ascii="Arial" w:hAnsi="Arial" w:cs="Arial"/>
        </w:rPr>
        <w:t>en</w:t>
      </w:r>
      <w:r>
        <w:rPr>
          <w:rFonts w:ascii="Arial" w:hAnsi="Arial" w:cs="Arial"/>
        </w:rPr>
        <w:t xml:space="preserve">/young </w:t>
      </w:r>
      <w:r w:rsidR="00BC6715">
        <w:rPr>
          <w:rFonts w:ascii="Arial" w:hAnsi="Arial" w:cs="Arial"/>
        </w:rPr>
        <w:t>people to</w:t>
      </w:r>
      <w:r w:rsidR="00E451FE">
        <w:rPr>
          <w:rFonts w:ascii="Arial" w:hAnsi="Arial" w:cs="Arial"/>
        </w:rPr>
        <w:t xml:space="preserve"> the new system during the past year.</w:t>
      </w:r>
    </w:p>
    <w:p w:rsidR="00954B42" w:rsidRDefault="0088432E" w:rsidP="003A1494">
      <w:pPr>
        <w:ind w:right="-514"/>
        <w:jc w:val="both"/>
        <w:rPr>
          <w:rFonts w:ascii="Arial" w:hAnsi="Arial" w:cs="Arial"/>
        </w:rPr>
      </w:pPr>
      <w:r>
        <w:rPr>
          <w:rFonts w:ascii="Arial" w:hAnsi="Arial" w:cs="Arial"/>
        </w:rPr>
        <w:t xml:space="preserve"> </w:t>
      </w:r>
    </w:p>
    <w:p w:rsidR="00744DB4" w:rsidRDefault="00954B42" w:rsidP="000F76BE">
      <w:pPr>
        <w:numPr>
          <w:ilvl w:val="0"/>
          <w:numId w:val="17"/>
        </w:numPr>
        <w:ind w:left="360" w:right="-514"/>
        <w:jc w:val="both"/>
        <w:rPr>
          <w:rFonts w:ascii="Arial" w:hAnsi="Arial" w:cs="Arial"/>
          <w:b/>
        </w:rPr>
      </w:pPr>
      <w:r w:rsidRPr="00954B42">
        <w:rPr>
          <w:rFonts w:ascii="Arial" w:hAnsi="Arial" w:cs="Arial"/>
          <w:b/>
        </w:rPr>
        <w:t>Early Years settings to school</w:t>
      </w:r>
    </w:p>
    <w:p w:rsidR="00954B42" w:rsidRPr="00954B42" w:rsidRDefault="00954B42" w:rsidP="000F76BE">
      <w:pPr>
        <w:ind w:right="-514"/>
        <w:jc w:val="both"/>
        <w:rPr>
          <w:rFonts w:ascii="Arial" w:hAnsi="Arial" w:cs="Arial"/>
          <w:b/>
        </w:rPr>
      </w:pPr>
    </w:p>
    <w:p w:rsidR="003A1494" w:rsidRDefault="00445DE3" w:rsidP="000F76BE">
      <w:pPr>
        <w:numPr>
          <w:ilvl w:val="0"/>
          <w:numId w:val="17"/>
        </w:numPr>
        <w:ind w:left="360" w:right="-514"/>
        <w:jc w:val="both"/>
        <w:rPr>
          <w:rFonts w:ascii="Arial" w:hAnsi="Arial" w:cs="Arial"/>
        </w:rPr>
      </w:pPr>
      <w:r>
        <w:rPr>
          <w:rFonts w:ascii="Arial" w:hAnsi="Arial" w:cs="Arial"/>
          <w:b/>
        </w:rPr>
        <w:t xml:space="preserve"> </w:t>
      </w:r>
      <w:r w:rsidR="00954B42">
        <w:rPr>
          <w:rFonts w:ascii="Arial" w:hAnsi="Arial" w:cs="Arial"/>
          <w:b/>
        </w:rPr>
        <w:t>Primary to secondary school</w:t>
      </w:r>
      <w:r>
        <w:rPr>
          <w:rFonts w:ascii="Arial" w:hAnsi="Arial" w:cs="Arial"/>
        </w:rPr>
        <w:t xml:space="preserve"> </w:t>
      </w:r>
    </w:p>
    <w:p w:rsidR="00A26961" w:rsidRDefault="00A26961" w:rsidP="000F76BE">
      <w:pPr>
        <w:ind w:right="-514"/>
        <w:jc w:val="both"/>
        <w:rPr>
          <w:rFonts w:ascii="Arial" w:hAnsi="Arial" w:cs="Arial"/>
        </w:rPr>
      </w:pPr>
    </w:p>
    <w:p w:rsidR="007E0115" w:rsidRPr="00A26961" w:rsidRDefault="00954B42" w:rsidP="000F76BE">
      <w:pPr>
        <w:numPr>
          <w:ilvl w:val="0"/>
          <w:numId w:val="17"/>
        </w:numPr>
        <w:ind w:left="360" w:right="-514"/>
        <w:jc w:val="both"/>
        <w:rPr>
          <w:rFonts w:ascii="Arial" w:hAnsi="Arial" w:cs="Arial"/>
        </w:rPr>
      </w:pPr>
      <w:r w:rsidRPr="00A26961">
        <w:rPr>
          <w:rFonts w:ascii="Arial" w:hAnsi="Arial" w:cs="Arial"/>
          <w:b/>
        </w:rPr>
        <w:t>Secondary school to a post 16 institution</w:t>
      </w:r>
    </w:p>
    <w:p w:rsidR="00954B42" w:rsidRDefault="00954B42" w:rsidP="000F76BE">
      <w:pPr>
        <w:pStyle w:val="ListParagraph"/>
        <w:ind w:left="360"/>
        <w:rPr>
          <w:rFonts w:ascii="Arial" w:hAnsi="Arial" w:cs="Arial"/>
        </w:rPr>
      </w:pPr>
    </w:p>
    <w:p w:rsidR="00A26961" w:rsidRDefault="00954B42" w:rsidP="000F76BE">
      <w:pPr>
        <w:numPr>
          <w:ilvl w:val="0"/>
          <w:numId w:val="17"/>
        </w:numPr>
        <w:ind w:left="360" w:right="-514"/>
        <w:jc w:val="both"/>
        <w:rPr>
          <w:rFonts w:ascii="Arial" w:hAnsi="Arial" w:cs="Arial"/>
          <w:b/>
        </w:rPr>
      </w:pPr>
      <w:r w:rsidRPr="0088432E">
        <w:rPr>
          <w:rFonts w:ascii="Arial" w:hAnsi="Arial" w:cs="Arial"/>
          <w:b/>
        </w:rPr>
        <w:t>Mainstream to Special/Special to mainstream</w:t>
      </w:r>
      <w:r w:rsidR="00065ED6">
        <w:rPr>
          <w:rFonts w:ascii="Arial" w:hAnsi="Arial" w:cs="Arial"/>
          <w:b/>
        </w:rPr>
        <w:t xml:space="preserve"> </w:t>
      </w:r>
    </w:p>
    <w:p w:rsidR="006C2A04" w:rsidRPr="0088432E" w:rsidRDefault="006C2A04" w:rsidP="006C2A04">
      <w:pPr>
        <w:ind w:right="-514"/>
        <w:jc w:val="both"/>
        <w:rPr>
          <w:rFonts w:ascii="Arial" w:hAnsi="Arial" w:cs="Arial"/>
          <w:b/>
        </w:rPr>
      </w:pPr>
    </w:p>
    <w:p w:rsidR="00B64E56" w:rsidRDefault="00B64E56" w:rsidP="000F76BE">
      <w:pPr>
        <w:ind w:right="-514"/>
        <w:jc w:val="both"/>
        <w:rPr>
          <w:rFonts w:ascii="Arial" w:hAnsi="Arial" w:cs="Arial"/>
        </w:rPr>
      </w:pPr>
    </w:p>
    <w:p w:rsidR="00BB62D1" w:rsidRDefault="00BC6715" w:rsidP="000F76BE">
      <w:pPr>
        <w:numPr>
          <w:ilvl w:val="0"/>
          <w:numId w:val="17"/>
        </w:numPr>
        <w:ind w:left="360" w:right="-514"/>
        <w:jc w:val="both"/>
        <w:rPr>
          <w:rFonts w:ascii="Arial" w:hAnsi="Arial" w:cs="Arial"/>
          <w:b/>
        </w:rPr>
      </w:pPr>
      <w:r>
        <w:rPr>
          <w:rFonts w:ascii="Arial" w:hAnsi="Arial" w:cs="Arial"/>
          <w:b/>
        </w:rPr>
        <w:t>C</w:t>
      </w:r>
      <w:r w:rsidR="00BB62D1" w:rsidRPr="00954B42">
        <w:rPr>
          <w:rFonts w:ascii="Arial" w:hAnsi="Arial" w:cs="Arial"/>
          <w:b/>
        </w:rPr>
        <w:t>hildre</w:t>
      </w:r>
      <w:r w:rsidR="00A26961">
        <w:rPr>
          <w:rFonts w:ascii="Arial" w:hAnsi="Arial" w:cs="Arial"/>
          <w:b/>
        </w:rPr>
        <w:t xml:space="preserve">n at Lyndale Special School </w:t>
      </w:r>
    </w:p>
    <w:p w:rsidR="00A26961" w:rsidRDefault="00A26961" w:rsidP="000F76BE">
      <w:pPr>
        <w:pStyle w:val="ListParagraph"/>
        <w:ind w:left="360"/>
        <w:rPr>
          <w:rFonts w:ascii="Arial" w:hAnsi="Arial" w:cs="Arial"/>
          <w:b/>
        </w:rPr>
      </w:pPr>
    </w:p>
    <w:p w:rsidR="00A26961" w:rsidRPr="00954B42" w:rsidRDefault="00A26961" w:rsidP="000F76BE">
      <w:pPr>
        <w:numPr>
          <w:ilvl w:val="0"/>
          <w:numId w:val="17"/>
        </w:numPr>
        <w:ind w:left="360" w:right="-514"/>
        <w:jc w:val="both"/>
        <w:rPr>
          <w:rFonts w:ascii="Arial" w:hAnsi="Arial" w:cs="Arial"/>
          <w:b/>
        </w:rPr>
      </w:pPr>
      <w:r>
        <w:rPr>
          <w:rFonts w:ascii="Arial" w:hAnsi="Arial" w:cs="Arial"/>
          <w:b/>
        </w:rPr>
        <w:t>Children moving between Local Authorities</w:t>
      </w:r>
    </w:p>
    <w:p w:rsidR="00445DE3" w:rsidRPr="00954B42" w:rsidRDefault="00445DE3" w:rsidP="000F76BE">
      <w:pPr>
        <w:pStyle w:val="ListParagraph"/>
        <w:ind w:left="360"/>
        <w:rPr>
          <w:rFonts w:ascii="Arial" w:hAnsi="Arial" w:cs="Arial"/>
          <w:b/>
        </w:rPr>
      </w:pPr>
    </w:p>
    <w:p w:rsidR="007E0115" w:rsidRDefault="00BC6715" w:rsidP="007E0115">
      <w:pPr>
        <w:ind w:right="-514"/>
        <w:jc w:val="both"/>
        <w:rPr>
          <w:rFonts w:ascii="Arial" w:hAnsi="Arial" w:cs="Arial"/>
        </w:rPr>
      </w:pPr>
      <w:r>
        <w:rPr>
          <w:rFonts w:ascii="Arial" w:hAnsi="Arial" w:cs="Arial"/>
        </w:rPr>
        <w:t xml:space="preserve">A total of </w:t>
      </w:r>
      <w:r w:rsidR="00EB1F07">
        <w:rPr>
          <w:rFonts w:ascii="Arial" w:hAnsi="Arial" w:cs="Arial"/>
        </w:rPr>
        <w:t>372</w:t>
      </w:r>
      <w:r w:rsidR="00445DE3">
        <w:rPr>
          <w:rFonts w:ascii="Arial" w:hAnsi="Arial" w:cs="Arial"/>
        </w:rPr>
        <w:t xml:space="preserve"> Statements have been transferred to EHCP’</w:t>
      </w:r>
      <w:r>
        <w:rPr>
          <w:rFonts w:ascii="Arial" w:hAnsi="Arial" w:cs="Arial"/>
        </w:rPr>
        <w:t xml:space="preserve">s </w:t>
      </w:r>
      <w:r w:rsidR="0088432E">
        <w:rPr>
          <w:rFonts w:ascii="Arial" w:hAnsi="Arial" w:cs="Arial"/>
        </w:rPr>
        <w:t>as indicated in the table below:</w:t>
      </w:r>
    </w:p>
    <w:p w:rsidR="000F76BE" w:rsidRDefault="000F76BE" w:rsidP="007E0115">
      <w:pPr>
        <w:ind w:right="-514"/>
        <w:jc w:val="both"/>
        <w:rPr>
          <w:rFonts w:ascii="Arial" w:hAnsi="Arial" w:cs="Arial"/>
        </w:rPr>
      </w:pPr>
    </w:p>
    <w:tbl>
      <w:tblPr>
        <w:tblStyle w:val="TableGrid"/>
        <w:tblW w:w="0" w:type="auto"/>
        <w:tblLook w:val="04A0" w:firstRow="1" w:lastRow="0" w:firstColumn="1" w:lastColumn="0" w:noHBand="0" w:noVBand="1"/>
      </w:tblPr>
      <w:tblGrid>
        <w:gridCol w:w="4312"/>
        <w:gridCol w:w="4312"/>
      </w:tblGrid>
      <w:tr w:rsidR="000F76BE" w:rsidRPr="000F76BE" w:rsidTr="000F76BE">
        <w:tc>
          <w:tcPr>
            <w:tcW w:w="4312" w:type="dxa"/>
          </w:tcPr>
          <w:p w:rsidR="000F76BE" w:rsidRPr="000F76BE" w:rsidRDefault="000F76BE" w:rsidP="007E0115">
            <w:pPr>
              <w:ind w:right="-514"/>
              <w:jc w:val="both"/>
              <w:rPr>
                <w:rFonts w:ascii="Arial" w:hAnsi="Arial" w:cs="Arial"/>
                <w:b/>
              </w:rPr>
            </w:pPr>
            <w:r w:rsidRPr="000F76BE">
              <w:rPr>
                <w:rFonts w:ascii="Arial" w:hAnsi="Arial" w:cs="Arial"/>
                <w:b/>
              </w:rPr>
              <w:t>Year</w:t>
            </w:r>
          </w:p>
        </w:tc>
        <w:tc>
          <w:tcPr>
            <w:tcW w:w="4312" w:type="dxa"/>
          </w:tcPr>
          <w:p w:rsidR="000F76BE" w:rsidRDefault="000F76BE" w:rsidP="007E0115">
            <w:pPr>
              <w:ind w:right="-514"/>
              <w:jc w:val="both"/>
              <w:rPr>
                <w:rFonts w:ascii="Arial" w:hAnsi="Arial" w:cs="Arial"/>
                <w:b/>
              </w:rPr>
            </w:pPr>
            <w:r w:rsidRPr="000F76BE">
              <w:rPr>
                <w:rFonts w:ascii="Arial" w:hAnsi="Arial" w:cs="Arial"/>
                <w:b/>
              </w:rPr>
              <w:t>Number of transfer reviews</w:t>
            </w:r>
          </w:p>
          <w:p w:rsidR="00462B15" w:rsidRPr="000F76BE" w:rsidRDefault="00462B15" w:rsidP="00462B15">
            <w:pPr>
              <w:ind w:right="-514"/>
              <w:jc w:val="both"/>
              <w:rPr>
                <w:rFonts w:ascii="Arial" w:hAnsi="Arial" w:cs="Arial"/>
                <w:b/>
              </w:rPr>
            </w:pPr>
            <w:r>
              <w:rPr>
                <w:rFonts w:ascii="Arial" w:hAnsi="Arial" w:cs="Arial"/>
                <w:b/>
              </w:rPr>
              <w:t>(including children aged 16+)</w:t>
            </w:r>
          </w:p>
        </w:tc>
      </w:tr>
      <w:tr w:rsidR="000F76BE" w:rsidTr="000F76BE">
        <w:tc>
          <w:tcPr>
            <w:tcW w:w="4312" w:type="dxa"/>
          </w:tcPr>
          <w:p w:rsidR="000F76BE" w:rsidRDefault="000F76BE" w:rsidP="007E0115">
            <w:pPr>
              <w:ind w:right="-514"/>
              <w:jc w:val="both"/>
              <w:rPr>
                <w:rFonts w:ascii="Arial" w:hAnsi="Arial" w:cs="Arial"/>
              </w:rPr>
            </w:pPr>
            <w:r>
              <w:rPr>
                <w:rFonts w:ascii="Arial" w:hAnsi="Arial" w:cs="Arial"/>
              </w:rPr>
              <w:t>September 14 – September 15</w:t>
            </w:r>
          </w:p>
        </w:tc>
        <w:tc>
          <w:tcPr>
            <w:tcW w:w="4312" w:type="dxa"/>
          </w:tcPr>
          <w:p w:rsidR="000F76BE" w:rsidRDefault="000F76BE" w:rsidP="007E0115">
            <w:pPr>
              <w:ind w:right="-514"/>
              <w:jc w:val="both"/>
              <w:rPr>
                <w:rFonts w:ascii="Arial" w:hAnsi="Arial" w:cs="Arial"/>
              </w:rPr>
            </w:pPr>
            <w:r>
              <w:rPr>
                <w:rFonts w:ascii="Arial" w:hAnsi="Arial" w:cs="Arial"/>
              </w:rPr>
              <w:t>372</w:t>
            </w:r>
            <w:r w:rsidR="00462B15">
              <w:rPr>
                <w:rFonts w:ascii="Arial" w:hAnsi="Arial" w:cs="Arial"/>
              </w:rPr>
              <w:t xml:space="preserve"> </w:t>
            </w:r>
          </w:p>
        </w:tc>
      </w:tr>
      <w:tr w:rsidR="000F76BE" w:rsidTr="000F76BE">
        <w:tc>
          <w:tcPr>
            <w:tcW w:w="4312" w:type="dxa"/>
          </w:tcPr>
          <w:p w:rsidR="000F76BE" w:rsidRDefault="000F76BE" w:rsidP="007E0115">
            <w:pPr>
              <w:ind w:right="-514"/>
              <w:jc w:val="both"/>
              <w:rPr>
                <w:rFonts w:ascii="Arial" w:hAnsi="Arial" w:cs="Arial"/>
              </w:rPr>
            </w:pPr>
            <w:r>
              <w:rPr>
                <w:rFonts w:ascii="Arial" w:hAnsi="Arial" w:cs="Arial"/>
              </w:rPr>
              <w:t>September 15 – September 16</w:t>
            </w:r>
          </w:p>
        </w:tc>
        <w:tc>
          <w:tcPr>
            <w:tcW w:w="4312" w:type="dxa"/>
          </w:tcPr>
          <w:p w:rsidR="000F76BE" w:rsidRDefault="000F76BE" w:rsidP="007E0115">
            <w:pPr>
              <w:ind w:right="-514"/>
              <w:jc w:val="both"/>
              <w:rPr>
                <w:rFonts w:ascii="Arial" w:hAnsi="Arial" w:cs="Arial"/>
              </w:rPr>
            </w:pPr>
            <w:r>
              <w:rPr>
                <w:rFonts w:ascii="Arial" w:hAnsi="Arial" w:cs="Arial"/>
              </w:rPr>
              <w:t>425</w:t>
            </w:r>
          </w:p>
        </w:tc>
      </w:tr>
      <w:tr w:rsidR="000F76BE" w:rsidTr="000F76BE">
        <w:tc>
          <w:tcPr>
            <w:tcW w:w="4312" w:type="dxa"/>
          </w:tcPr>
          <w:p w:rsidR="000F76BE" w:rsidRDefault="000F76BE" w:rsidP="007E0115">
            <w:pPr>
              <w:ind w:right="-514"/>
              <w:jc w:val="both"/>
              <w:rPr>
                <w:rFonts w:ascii="Arial" w:hAnsi="Arial" w:cs="Arial"/>
              </w:rPr>
            </w:pPr>
            <w:r>
              <w:rPr>
                <w:rFonts w:ascii="Arial" w:hAnsi="Arial" w:cs="Arial"/>
              </w:rPr>
              <w:t>September 16 – September 17</w:t>
            </w:r>
          </w:p>
        </w:tc>
        <w:tc>
          <w:tcPr>
            <w:tcW w:w="4312" w:type="dxa"/>
          </w:tcPr>
          <w:p w:rsidR="000F76BE" w:rsidRDefault="000F76BE" w:rsidP="007E0115">
            <w:pPr>
              <w:ind w:right="-514"/>
              <w:jc w:val="both"/>
              <w:rPr>
                <w:rFonts w:ascii="Arial" w:hAnsi="Arial" w:cs="Arial"/>
              </w:rPr>
            </w:pPr>
            <w:r>
              <w:rPr>
                <w:rFonts w:ascii="Arial" w:hAnsi="Arial" w:cs="Arial"/>
              </w:rPr>
              <w:t>425</w:t>
            </w:r>
          </w:p>
        </w:tc>
      </w:tr>
      <w:tr w:rsidR="000F76BE" w:rsidTr="000F76BE">
        <w:tc>
          <w:tcPr>
            <w:tcW w:w="4312" w:type="dxa"/>
          </w:tcPr>
          <w:p w:rsidR="000F76BE" w:rsidRDefault="000F76BE" w:rsidP="007E0115">
            <w:pPr>
              <w:ind w:right="-514"/>
              <w:jc w:val="both"/>
              <w:rPr>
                <w:rFonts w:ascii="Arial" w:hAnsi="Arial" w:cs="Arial"/>
              </w:rPr>
            </w:pPr>
            <w:r>
              <w:rPr>
                <w:rFonts w:ascii="Arial" w:hAnsi="Arial" w:cs="Arial"/>
              </w:rPr>
              <w:t>September 17 – April 2018</w:t>
            </w:r>
          </w:p>
        </w:tc>
        <w:tc>
          <w:tcPr>
            <w:tcW w:w="4312" w:type="dxa"/>
          </w:tcPr>
          <w:p w:rsidR="000F76BE" w:rsidRDefault="000F76BE" w:rsidP="007E0115">
            <w:pPr>
              <w:ind w:right="-514"/>
              <w:jc w:val="both"/>
              <w:rPr>
                <w:rFonts w:ascii="Arial" w:hAnsi="Arial" w:cs="Arial"/>
              </w:rPr>
            </w:pPr>
            <w:r>
              <w:rPr>
                <w:rFonts w:ascii="Arial" w:hAnsi="Arial" w:cs="Arial"/>
              </w:rPr>
              <w:t>420</w:t>
            </w:r>
          </w:p>
        </w:tc>
      </w:tr>
    </w:tbl>
    <w:p w:rsidR="00D5157B" w:rsidRDefault="00D5157B" w:rsidP="007E0115">
      <w:pPr>
        <w:ind w:right="-514"/>
        <w:jc w:val="both"/>
        <w:rPr>
          <w:rFonts w:ascii="Arial" w:hAnsi="Arial" w:cs="Arial"/>
        </w:rPr>
      </w:pPr>
    </w:p>
    <w:p w:rsidR="0065408D" w:rsidRDefault="0065408D" w:rsidP="00C11745">
      <w:pPr>
        <w:ind w:right="-514"/>
        <w:jc w:val="both"/>
        <w:rPr>
          <w:rFonts w:ascii="Arial" w:hAnsi="Arial" w:cs="Arial"/>
          <w:b/>
          <w:bCs/>
        </w:rPr>
      </w:pPr>
    </w:p>
    <w:p w:rsidR="00C11745" w:rsidRDefault="00E451FE" w:rsidP="00C11745">
      <w:pPr>
        <w:ind w:right="-514"/>
        <w:jc w:val="both"/>
        <w:rPr>
          <w:rFonts w:ascii="Arial" w:hAnsi="Arial" w:cs="Arial"/>
        </w:rPr>
      </w:pPr>
      <w:r>
        <w:rPr>
          <w:rFonts w:ascii="Arial" w:hAnsi="Arial" w:cs="Arial"/>
        </w:rPr>
        <w:t xml:space="preserve">Wirral LA </w:t>
      </w:r>
      <w:r w:rsidRPr="002A1797">
        <w:rPr>
          <w:rFonts w:ascii="Arial" w:hAnsi="Arial" w:cs="Arial"/>
        </w:rPr>
        <w:t>retained</w:t>
      </w:r>
      <w:r w:rsidR="00C11745" w:rsidRPr="002A1797">
        <w:rPr>
          <w:rFonts w:ascii="Arial" w:hAnsi="Arial" w:cs="Arial"/>
        </w:rPr>
        <w:t xml:space="preserve"> the services of Greater Merseyside Connexions Service to lead the process of transferring young peoples existing LDA</w:t>
      </w:r>
      <w:r w:rsidR="00861D94">
        <w:rPr>
          <w:rFonts w:ascii="Arial" w:hAnsi="Arial" w:cs="Arial"/>
        </w:rPr>
        <w:t xml:space="preserve">’s </w:t>
      </w:r>
      <w:r w:rsidR="00C11745" w:rsidRPr="002A1797">
        <w:rPr>
          <w:rFonts w:ascii="Arial" w:hAnsi="Arial" w:cs="Arial"/>
        </w:rPr>
        <w:t>t</w:t>
      </w:r>
      <w:r>
        <w:rPr>
          <w:rFonts w:ascii="Arial" w:hAnsi="Arial" w:cs="Arial"/>
        </w:rPr>
        <w:t>o an EHC. In doing this, the LA have</w:t>
      </w:r>
      <w:r w:rsidR="00C11745" w:rsidRPr="002A1797">
        <w:rPr>
          <w:rFonts w:ascii="Arial" w:hAnsi="Arial" w:cs="Arial"/>
        </w:rPr>
        <w:t xml:space="preserve"> </w:t>
      </w:r>
      <w:r w:rsidRPr="002A1797">
        <w:rPr>
          <w:rFonts w:ascii="Arial" w:hAnsi="Arial" w:cs="Arial"/>
        </w:rPr>
        <w:t>maintain</w:t>
      </w:r>
      <w:r>
        <w:rPr>
          <w:rFonts w:ascii="Arial" w:hAnsi="Arial" w:cs="Arial"/>
        </w:rPr>
        <w:t xml:space="preserve">ed </w:t>
      </w:r>
      <w:r w:rsidRPr="002A1797">
        <w:rPr>
          <w:rFonts w:ascii="Arial" w:hAnsi="Arial" w:cs="Arial"/>
        </w:rPr>
        <w:t>the</w:t>
      </w:r>
      <w:r w:rsidR="00C11745" w:rsidRPr="002A1797">
        <w:rPr>
          <w:rFonts w:ascii="Arial" w:hAnsi="Arial" w:cs="Arial"/>
        </w:rPr>
        <w:t xml:space="preserve"> high quality of service which has been provided over a considerable period of time.</w:t>
      </w:r>
    </w:p>
    <w:p w:rsidR="000E4ADB" w:rsidRDefault="000E4ADB" w:rsidP="00C11745">
      <w:pPr>
        <w:ind w:right="-514"/>
        <w:jc w:val="both"/>
        <w:rPr>
          <w:rFonts w:ascii="Arial" w:hAnsi="Arial" w:cs="Arial"/>
        </w:rPr>
      </w:pPr>
    </w:p>
    <w:p w:rsidR="00462B15" w:rsidRDefault="00065ED6" w:rsidP="00C11745">
      <w:pPr>
        <w:ind w:right="-514"/>
        <w:jc w:val="both"/>
        <w:rPr>
          <w:rFonts w:ascii="Arial" w:hAnsi="Arial" w:cs="Arial"/>
        </w:rPr>
      </w:pPr>
      <w:r>
        <w:rPr>
          <w:rFonts w:ascii="Arial" w:hAnsi="Arial" w:cs="Arial"/>
        </w:rPr>
        <w:lastRenderedPageBreak/>
        <w:t>Parent feedback has indicated that they found the input from the EHCP co-ordinators invaluable because although the process often seemed quite long and complex, with the help of the co-ordinators, they feel they have a plan which will really benefit their child.</w:t>
      </w:r>
    </w:p>
    <w:p w:rsidR="00101316" w:rsidRDefault="00101316" w:rsidP="00C11745">
      <w:pPr>
        <w:ind w:right="-514"/>
        <w:jc w:val="both"/>
        <w:rPr>
          <w:rFonts w:ascii="Arial" w:hAnsi="Arial" w:cs="Arial"/>
        </w:rPr>
      </w:pPr>
    </w:p>
    <w:p w:rsidR="00065ED6" w:rsidRDefault="00065ED6" w:rsidP="00C11745">
      <w:pPr>
        <w:ind w:right="-514"/>
        <w:jc w:val="both"/>
        <w:rPr>
          <w:rFonts w:ascii="Arial" w:hAnsi="Arial" w:cs="Arial"/>
        </w:rPr>
      </w:pPr>
    </w:p>
    <w:p w:rsidR="000E4ADB" w:rsidRDefault="00E437B1" w:rsidP="00C11745">
      <w:pPr>
        <w:ind w:right="-514"/>
        <w:jc w:val="both"/>
        <w:rPr>
          <w:rFonts w:ascii="Arial" w:hAnsi="Arial" w:cs="Arial"/>
          <w:b/>
          <w:u w:val="single"/>
        </w:rPr>
      </w:pPr>
      <w:r>
        <w:rPr>
          <w:rFonts w:ascii="Arial" w:hAnsi="Arial" w:cs="Arial"/>
          <w:b/>
          <w:u w:val="single"/>
        </w:rPr>
        <w:t xml:space="preserve">In the second </w:t>
      </w:r>
      <w:proofErr w:type="gramStart"/>
      <w:r>
        <w:rPr>
          <w:rFonts w:ascii="Arial" w:hAnsi="Arial" w:cs="Arial"/>
          <w:b/>
          <w:u w:val="single"/>
        </w:rPr>
        <w:t>year(</w:t>
      </w:r>
      <w:proofErr w:type="gramEnd"/>
      <w:r w:rsidR="00BC6715">
        <w:rPr>
          <w:rFonts w:ascii="Arial" w:hAnsi="Arial" w:cs="Arial"/>
          <w:b/>
          <w:u w:val="single"/>
        </w:rPr>
        <w:t xml:space="preserve"> September</w:t>
      </w:r>
      <w:r>
        <w:rPr>
          <w:rFonts w:ascii="Arial" w:hAnsi="Arial" w:cs="Arial"/>
          <w:b/>
          <w:u w:val="single"/>
        </w:rPr>
        <w:t xml:space="preserve"> 2015-Septemebr  2016)</w:t>
      </w:r>
    </w:p>
    <w:p w:rsidR="000E4ADB" w:rsidRDefault="000E4ADB" w:rsidP="00C11745">
      <w:pPr>
        <w:ind w:right="-514"/>
        <w:jc w:val="both"/>
        <w:rPr>
          <w:rFonts w:ascii="Arial" w:hAnsi="Arial" w:cs="Arial"/>
          <w:b/>
          <w:u w:val="single"/>
        </w:rPr>
      </w:pPr>
    </w:p>
    <w:p w:rsidR="000E4ADB" w:rsidRPr="00E437B1" w:rsidRDefault="000F76BE" w:rsidP="00C11745">
      <w:pPr>
        <w:ind w:right="-514"/>
        <w:jc w:val="both"/>
        <w:rPr>
          <w:rFonts w:ascii="Arial" w:hAnsi="Arial" w:cs="Arial"/>
          <w:b/>
        </w:rPr>
      </w:pPr>
      <w:r>
        <w:rPr>
          <w:rFonts w:ascii="Arial" w:hAnsi="Arial" w:cs="Arial"/>
        </w:rPr>
        <w:t>During Year T</w:t>
      </w:r>
      <w:r w:rsidR="000E4ADB">
        <w:rPr>
          <w:rFonts w:ascii="Arial" w:hAnsi="Arial" w:cs="Arial"/>
        </w:rPr>
        <w:t>wo of the Transitional Arrangements the following groups of children will be</w:t>
      </w:r>
      <w:r w:rsidR="00A26961">
        <w:rPr>
          <w:rFonts w:ascii="Arial" w:hAnsi="Arial" w:cs="Arial"/>
        </w:rPr>
        <w:t xml:space="preserve"> prioritised to transfer to the new system.</w:t>
      </w:r>
      <w:r w:rsidR="0088432E">
        <w:rPr>
          <w:rFonts w:ascii="Arial" w:hAnsi="Arial" w:cs="Arial"/>
        </w:rPr>
        <w:t xml:space="preserve"> Following feedback from </w:t>
      </w:r>
      <w:r>
        <w:rPr>
          <w:rFonts w:ascii="Arial" w:hAnsi="Arial" w:cs="Arial"/>
        </w:rPr>
        <w:t>familie</w:t>
      </w:r>
      <w:r w:rsidR="00AF56BB">
        <w:rPr>
          <w:rFonts w:ascii="Arial" w:hAnsi="Arial" w:cs="Arial"/>
        </w:rPr>
        <w:t>s</w:t>
      </w:r>
      <w:r>
        <w:rPr>
          <w:rFonts w:ascii="Arial" w:hAnsi="Arial" w:cs="Arial"/>
        </w:rPr>
        <w:t xml:space="preserve">, </w:t>
      </w:r>
      <w:r w:rsidR="00AF56BB">
        <w:rPr>
          <w:rFonts w:ascii="Arial" w:hAnsi="Arial" w:cs="Arial"/>
        </w:rPr>
        <w:t xml:space="preserve">health </w:t>
      </w:r>
      <w:r w:rsidR="0088432E">
        <w:rPr>
          <w:rFonts w:ascii="Arial" w:hAnsi="Arial" w:cs="Arial"/>
        </w:rPr>
        <w:t xml:space="preserve">and schools/settings </w:t>
      </w:r>
      <w:r>
        <w:rPr>
          <w:rFonts w:ascii="Arial" w:hAnsi="Arial" w:cs="Arial"/>
        </w:rPr>
        <w:t>that</w:t>
      </w:r>
      <w:r w:rsidR="0088432E">
        <w:rPr>
          <w:rFonts w:ascii="Arial" w:hAnsi="Arial" w:cs="Arial"/>
        </w:rPr>
        <w:t xml:space="preserve"> have been through the transfer process we have agreed to </w:t>
      </w:r>
      <w:r w:rsidR="008A137F">
        <w:rPr>
          <w:rFonts w:ascii="Arial" w:hAnsi="Arial" w:cs="Arial"/>
        </w:rPr>
        <w:t xml:space="preserve">transfer the following groups: </w:t>
      </w:r>
      <w:r w:rsidR="00E437B1">
        <w:rPr>
          <w:rFonts w:ascii="Arial" w:hAnsi="Arial" w:cs="Arial"/>
        </w:rPr>
        <w:t>Total Transfers-</w:t>
      </w:r>
      <w:r w:rsidR="00E437B1" w:rsidRPr="00E437B1">
        <w:rPr>
          <w:rFonts w:ascii="Arial" w:hAnsi="Arial" w:cs="Arial"/>
          <w:b/>
        </w:rPr>
        <w:t>420</w:t>
      </w:r>
      <w:bookmarkStart w:id="0" w:name="_GoBack"/>
      <w:bookmarkEnd w:id="0"/>
    </w:p>
    <w:p w:rsidR="00BC6715" w:rsidRDefault="00BC6715" w:rsidP="00C11745">
      <w:pPr>
        <w:ind w:right="-514"/>
        <w:jc w:val="both"/>
        <w:rPr>
          <w:rFonts w:ascii="Arial" w:hAnsi="Arial" w:cs="Arial"/>
        </w:rPr>
      </w:pPr>
    </w:p>
    <w:p w:rsidR="000F76BE" w:rsidRDefault="000F76BE" w:rsidP="00462B15">
      <w:pPr>
        <w:jc w:val="both"/>
        <w:rPr>
          <w:rFonts w:ascii="Arial" w:hAnsi="Arial" w:cs="Arial"/>
        </w:rPr>
      </w:pPr>
    </w:p>
    <w:tbl>
      <w:tblPr>
        <w:tblStyle w:val="TableGrid"/>
        <w:tblW w:w="0" w:type="auto"/>
        <w:tblLook w:val="04A0" w:firstRow="1" w:lastRow="0" w:firstColumn="1" w:lastColumn="0" w:noHBand="0" w:noVBand="1"/>
      </w:tblPr>
      <w:tblGrid>
        <w:gridCol w:w="4928"/>
        <w:gridCol w:w="3696"/>
      </w:tblGrid>
      <w:tr w:rsidR="00462B15" w:rsidRPr="00462B15" w:rsidTr="00462B15">
        <w:tc>
          <w:tcPr>
            <w:tcW w:w="4928" w:type="dxa"/>
          </w:tcPr>
          <w:p w:rsidR="00462B15" w:rsidRDefault="00462B15" w:rsidP="00462B15">
            <w:pPr>
              <w:jc w:val="both"/>
              <w:rPr>
                <w:rFonts w:ascii="Arial" w:hAnsi="Arial" w:cs="Arial"/>
                <w:b/>
              </w:rPr>
            </w:pPr>
          </w:p>
          <w:p w:rsidR="00462B15" w:rsidRPr="00462B15" w:rsidRDefault="00462B15" w:rsidP="00462B15">
            <w:pPr>
              <w:jc w:val="both"/>
              <w:rPr>
                <w:rFonts w:ascii="Arial" w:hAnsi="Arial" w:cs="Arial"/>
                <w:b/>
              </w:rPr>
            </w:pPr>
            <w:r w:rsidRPr="00462B15">
              <w:rPr>
                <w:rFonts w:ascii="Arial" w:hAnsi="Arial" w:cs="Arial"/>
                <w:b/>
              </w:rPr>
              <w:t>Which children?</w:t>
            </w:r>
          </w:p>
        </w:tc>
        <w:tc>
          <w:tcPr>
            <w:tcW w:w="3696" w:type="dxa"/>
          </w:tcPr>
          <w:p w:rsidR="00462B15" w:rsidRDefault="00462B15" w:rsidP="00462B15">
            <w:pPr>
              <w:jc w:val="both"/>
              <w:rPr>
                <w:rFonts w:ascii="Arial" w:hAnsi="Arial" w:cs="Arial"/>
                <w:b/>
              </w:rPr>
            </w:pPr>
          </w:p>
          <w:p w:rsidR="00462B15" w:rsidRPr="00462B15" w:rsidRDefault="00462B15" w:rsidP="00462B15">
            <w:pPr>
              <w:jc w:val="both"/>
              <w:rPr>
                <w:rFonts w:ascii="Arial" w:hAnsi="Arial" w:cs="Arial"/>
                <w:b/>
              </w:rPr>
            </w:pPr>
            <w:r w:rsidRPr="00462B15">
              <w:rPr>
                <w:rFonts w:ascii="Arial" w:hAnsi="Arial" w:cs="Arial"/>
                <w:b/>
              </w:rPr>
              <w:t>When?</w:t>
            </w:r>
          </w:p>
        </w:tc>
      </w:tr>
      <w:tr w:rsidR="00462B15" w:rsidTr="00462B15">
        <w:tc>
          <w:tcPr>
            <w:tcW w:w="4928" w:type="dxa"/>
          </w:tcPr>
          <w:p w:rsidR="00E437B1" w:rsidRDefault="00E437B1" w:rsidP="00462B15">
            <w:pPr>
              <w:jc w:val="both"/>
              <w:rPr>
                <w:rFonts w:ascii="Arial" w:hAnsi="Arial" w:cs="Arial"/>
              </w:rPr>
            </w:pPr>
            <w:r>
              <w:rPr>
                <w:rFonts w:ascii="Arial" w:hAnsi="Arial" w:cs="Arial"/>
              </w:rPr>
              <w:t>Foundation 1</w:t>
            </w:r>
          </w:p>
          <w:p w:rsidR="00462B15" w:rsidRDefault="00101316" w:rsidP="00462B15">
            <w:pPr>
              <w:jc w:val="both"/>
              <w:rPr>
                <w:rFonts w:ascii="Arial" w:hAnsi="Arial" w:cs="Arial"/>
              </w:rPr>
            </w:pPr>
            <w:r>
              <w:rPr>
                <w:rFonts w:ascii="Arial" w:hAnsi="Arial" w:cs="Arial"/>
              </w:rPr>
              <w:t xml:space="preserve"> (23)</w:t>
            </w:r>
          </w:p>
        </w:tc>
        <w:tc>
          <w:tcPr>
            <w:tcW w:w="3696" w:type="dxa"/>
            <w:vAlign w:val="center"/>
          </w:tcPr>
          <w:p w:rsidR="00462B15" w:rsidRDefault="00462B15" w:rsidP="00462B15">
            <w:pPr>
              <w:rPr>
                <w:rFonts w:ascii="Arial" w:hAnsi="Arial" w:cs="Arial"/>
              </w:rPr>
            </w:pPr>
            <w:r>
              <w:rPr>
                <w:rFonts w:ascii="Arial" w:hAnsi="Arial" w:cs="Arial"/>
              </w:rPr>
              <w:t>October to December 2015</w:t>
            </w:r>
          </w:p>
        </w:tc>
      </w:tr>
      <w:tr w:rsidR="00462B15" w:rsidTr="00462B15">
        <w:tc>
          <w:tcPr>
            <w:tcW w:w="4928" w:type="dxa"/>
          </w:tcPr>
          <w:p w:rsidR="00462B15" w:rsidRPr="00462B15" w:rsidRDefault="00462B15" w:rsidP="00462B15">
            <w:pPr>
              <w:jc w:val="both"/>
              <w:rPr>
                <w:rFonts w:ascii="Arial" w:hAnsi="Arial" w:cs="Arial"/>
                <w:u w:val="single"/>
              </w:rPr>
            </w:pPr>
            <w:r w:rsidRPr="00462B15">
              <w:rPr>
                <w:rFonts w:ascii="Arial" w:hAnsi="Arial" w:cs="Arial"/>
                <w:u w:val="single"/>
              </w:rPr>
              <w:t xml:space="preserve">Year 6 </w:t>
            </w:r>
          </w:p>
          <w:p w:rsidR="00462B15" w:rsidRDefault="00462B15" w:rsidP="00462B15">
            <w:pPr>
              <w:jc w:val="both"/>
              <w:rPr>
                <w:rFonts w:ascii="Arial" w:hAnsi="Arial" w:cs="Arial"/>
              </w:rPr>
            </w:pPr>
            <w:r>
              <w:rPr>
                <w:rFonts w:ascii="Arial" w:hAnsi="Arial" w:cs="Arial"/>
              </w:rPr>
              <w:t>Mainstream (16)</w:t>
            </w:r>
          </w:p>
          <w:p w:rsidR="00462B15" w:rsidRDefault="00462B15" w:rsidP="00462B15">
            <w:pPr>
              <w:jc w:val="both"/>
              <w:rPr>
                <w:rFonts w:ascii="Arial" w:hAnsi="Arial" w:cs="Arial"/>
              </w:rPr>
            </w:pPr>
            <w:r>
              <w:rPr>
                <w:rFonts w:ascii="Arial" w:hAnsi="Arial" w:cs="Arial"/>
              </w:rPr>
              <w:t>Special (86)</w:t>
            </w:r>
          </w:p>
          <w:p w:rsidR="00462B15" w:rsidRDefault="00462B15" w:rsidP="00462B15">
            <w:pPr>
              <w:jc w:val="both"/>
              <w:rPr>
                <w:rFonts w:ascii="Arial" w:hAnsi="Arial" w:cs="Arial"/>
              </w:rPr>
            </w:pPr>
            <w:r>
              <w:rPr>
                <w:rFonts w:ascii="Arial" w:hAnsi="Arial" w:cs="Arial"/>
              </w:rPr>
              <w:t>Resourced bases (16)</w:t>
            </w:r>
          </w:p>
          <w:p w:rsidR="00462B15" w:rsidRDefault="00462B15" w:rsidP="00462B15">
            <w:pPr>
              <w:jc w:val="both"/>
              <w:rPr>
                <w:rFonts w:ascii="Arial" w:hAnsi="Arial" w:cs="Arial"/>
              </w:rPr>
            </w:pPr>
          </w:p>
        </w:tc>
        <w:tc>
          <w:tcPr>
            <w:tcW w:w="3696" w:type="dxa"/>
            <w:vAlign w:val="center"/>
          </w:tcPr>
          <w:p w:rsidR="00462B15" w:rsidRDefault="00426ECB" w:rsidP="00645FD7">
            <w:pPr>
              <w:rPr>
                <w:rFonts w:ascii="Arial" w:hAnsi="Arial" w:cs="Arial"/>
              </w:rPr>
            </w:pPr>
            <w:r>
              <w:rPr>
                <w:rFonts w:ascii="Arial" w:hAnsi="Arial" w:cs="Arial"/>
              </w:rPr>
              <w:t>September</w:t>
            </w:r>
            <w:r w:rsidR="00645FD7">
              <w:rPr>
                <w:rFonts w:ascii="Arial" w:hAnsi="Arial" w:cs="Arial"/>
              </w:rPr>
              <w:t xml:space="preserve"> 2015</w:t>
            </w:r>
            <w:r w:rsidR="00462B15">
              <w:rPr>
                <w:rFonts w:ascii="Arial" w:hAnsi="Arial" w:cs="Arial"/>
              </w:rPr>
              <w:t xml:space="preserve"> to </w:t>
            </w:r>
            <w:r w:rsidR="00645FD7">
              <w:rPr>
                <w:rFonts w:ascii="Arial" w:hAnsi="Arial" w:cs="Arial"/>
              </w:rPr>
              <w:t>January</w:t>
            </w:r>
            <w:r w:rsidR="00462B15">
              <w:rPr>
                <w:rFonts w:ascii="Arial" w:hAnsi="Arial" w:cs="Arial"/>
              </w:rPr>
              <w:t xml:space="preserve"> 201</w:t>
            </w:r>
            <w:r w:rsidR="00645FD7">
              <w:rPr>
                <w:rFonts w:ascii="Arial" w:hAnsi="Arial" w:cs="Arial"/>
              </w:rPr>
              <w:t>6</w:t>
            </w:r>
          </w:p>
        </w:tc>
      </w:tr>
      <w:tr w:rsidR="00462B15" w:rsidTr="00462B15">
        <w:tc>
          <w:tcPr>
            <w:tcW w:w="4928" w:type="dxa"/>
          </w:tcPr>
          <w:p w:rsidR="00462B15" w:rsidRPr="00462B15" w:rsidRDefault="00462B15" w:rsidP="00462B15">
            <w:pPr>
              <w:jc w:val="both"/>
              <w:rPr>
                <w:rFonts w:ascii="Arial" w:hAnsi="Arial" w:cs="Arial"/>
                <w:u w:val="single"/>
              </w:rPr>
            </w:pPr>
            <w:r w:rsidRPr="00462B15">
              <w:rPr>
                <w:rFonts w:ascii="Arial" w:hAnsi="Arial" w:cs="Arial"/>
                <w:u w:val="single"/>
              </w:rPr>
              <w:t>Year 9</w:t>
            </w:r>
          </w:p>
          <w:p w:rsidR="00462B15" w:rsidRDefault="00462B15" w:rsidP="00462B15">
            <w:pPr>
              <w:jc w:val="both"/>
              <w:rPr>
                <w:rFonts w:ascii="Arial" w:hAnsi="Arial" w:cs="Arial"/>
              </w:rPr>
            </w:pPr>
            <w:r>
              <w:rPr>
                <w:rFonts w:ascii="Arial" w:hAnsi="Arial" w:cs="Arial"/>
              </w:rPr>
              <w:t>Mainstream, and resourced bases (63)</w:t>
            </w:r>
          </w:p>
          <w:p w:rsidR="00462B15" w:rsidRDefault="00462B15" w:rsidP="00462B15">
            <w:pPr>
              <w:jc w:val="both"/>
              <w:rPr>
                <w:rFonts w:ascii="Arial" w:hAnsi="Arial" w:cs="Arial"/>
              </w:rPr>
            </w:pPr>
            <w:r>
              <w:rPr>
                <w:rFonts w:ascii="Arial" w:hAnsi="Arial" w:cs="Arial"/>
              </w:rPr>
              <w:t>Special (63)</w:t>
            </w:r>
          </w:p>
        </w:tc>
        <w:tc>
          <w:tcPr>
            <w:tcW w:w="3696" w:type="dxa"/>
            <w:vAlign w:val="center"/>
          </w:tcPr>
          <w:p w:rsidR="00462B15" w:rsidRDefault="00426ECB" w:rsidP="00462B15">
            <w:pPr>
              <w:rPr>
                <w:rFonts w:ascii="Arial" w:hAnsi="Arial" w:cs="Arial"/>
              </w:rPr>
            </w:pPr>
            <w:r>
              <w:rPr>
                <w:rFonts w:ascii="Arial" w:hAnsi="Arial" w:cs="Arial"/>
              </w:rPr>
              <w:t xml:space="preserve">January – April </w:t>
            </w:r>
            <w:r w:rsidR="00462B15">
              <w:rPr>
                <w:rFonts w:ascii="Arial" w:hAnsi="Arial" w:cs="Arial"/>
              </w:rPr>
              <w:t>2016</w:t>
            </w:r>
          </w:p>
        </w:tc>
      </w:tr>
      <w:tr w:rsidR="00462B15" w:rsidTr="00462B15">
        <w:tc>
          <w:tcPr>
            <w:tcW w:w="4928" w:type="dxa"/>
          </w:tcPr>
          <w:p w:rsidR="00462B15" w:rsidRPr="00462B15" w:rsidRDefault="00462B15" w:rsidP="00462B15">
            <w:pPr>
              <w:jc w:val="both"/>
              <w:rPr>
                <w:rFonts w:ascii="Arial" w:hAnsi="Arial" w:cs="Arial"/>
                <w:u w:val="single"/>
              </w:rPr>
            </w:pPr>
            <w:r w:rsidRPr="00462B15">
              <w:rPr>
                <w:rFonts w:ascii="Arial" w:hAnsi="Arial" w:cs="Arial"/>
                <w:u w:val="single"/>
              </w:rPr>
              <w:t>Year 11</w:t>
            </w:r>
          </w:p>
          <w:p w:rsidR="00462B15" w:rsidRDefault="00462B15" w:rsidP="00462B15">
            <w:pPr>
              <w:jc w:val="both"/>
              <w:rPr>
                <w:rFonts w:ascii="Arial" w:hAnsi="Arial" w:cs="Arial"/>
              </w:rPr>
            </w:pPr>
            <w:r>
              <w:rPr>
                <w:rFonts w:ascii="Arial" w:hAnsi="Arial" w:cs="Arial"/>
              </w:rPr>
              <w:t>Mainstream, and resourced bases (81)</w:t>
            </w:r>
          </w:p>
          <w:p w:rsidR="00462B15" w:rsidRDefault="00462B15" w:rsidP="00462B15">
            <w:pPr>
              <w:jc w:val="both"/>
              <w:rPr>
                <w:rFonts w:ascii="Arial" w:hAnsi="Arial" w:cs="Arial"/>
              </w:rPr>
            </w:pPr>
            <w:r>
              <w:rPr>
                <w:rFonts w:ascii="Arial" w:hAnsi="Arial" w:cs="Arial"/>
              </w:rPr>
              <w:t>Special (72)</w:t>
            </w:r>
          </w:p>
        </w:tc>
        <w:tc>
          <w:tcPr>
            <w:tcW w:w="3696" w:type="dxa"/>
            <w:vAlign w:val="center"/>
          </w:tcPr>
          <w:p w:rsidR="00462B15" w:rsidRDefault="006C2A04" w:rsidP="00462B15">
            <w:pPr>
              <w:rPr>
                <w:rFonts w:ascii="Arial" w:hAnsi="Arial" w:cs="Arial"/>
              </w:rPr>
            </w:pPr>
            <w:r>
              <w:rPr>
                <w:rFonts w:ascii="Arial" w:hAnsi="Arial" w:cs="Arial"/>
              </w:rPr>
              <w:t>September</w:t>
            </w:r>
            <w:r w:rsidR="00426ECB">
              <w:rPr>
                <w:rFonts w:ascii="Arial" w:hAnsi="Arial" w:cs="Arial"/>
              </w:rPr>
              <w:t xml:space="preserve"> - April</w:t>
            </w:r>
            <w:r w:rsidR="00462B15">
              <w:rPr>
                <w:rFonts w:ascii="Arial" w:hAnsi="Arial" w:cs="Arial"/>
              </w:rPr>
              <w:t xml:space="preserve"> 2016</w:t>
            </w:r>
          </w:p>
        </w:tc>
      </w:tr>
    </w:tbl>
    <w:p w:rsidR="000F76BE" w:rsidRDefault="000F76BE" w:rsidP="00462B15">
      <w:pPr>
        <w:jc w:val="both"/>
        <w:rPr>
          <w:rFonts w:ascii="Arial" w:hAnsi="Arial" w:cs="Arial"/>
        </w:rPr>
      </w:pPr>
    </w:p>
    <w:p w:rsidR="000E4ADB" w:rsidRDefault="000E4ADB" w:rsidP="00462B15">
      <w:pPr>
        <w:ind w:right="-514"/>
        <w:jc w:val="both"/>
        <w:rPr>
          <w:rFonts w:ascii="Arial" w:hAnsi="Arial" w:cs="Arial"/>
        </w:rPr>
      </w:pPr>
    </w:p>
    <w:p w:rsidR="008A137F" w:rsidRDefault="000E4ADB" w:rsidP="00462B15">
      <w:pPr>
        <w:ind w:right="-514"/>
        <w:jc w:val="both"/>
        <w:rPr>
          <w:rFonts w:ascii="Arial" w:hAnsi="Arial" w:cs="Arial"/>
        </w:rPr>
      </w:pPr>
      <w:r>
        <w:rPr>
          <w:rFonts w:ascii="Arial" w:hAnsi="Arial" w:cs="Arial"/>
        </w:rPr>
        <w:t xml:space="preserve">In addition to the above year groups any children who move from mainstream to special or </w:t>
      </w:r>
      <w:r w:rsidR="008A137F">
        <w:rPr>
          <w:rFonts w:ascii="Arial" w:hAnsi="Arial" w:cs="Arial"/>
        </w:rPr>
        <w:t>vice</w:t>
      </w:r>
      <w:r>
        <w:rPr>
          <w:rFonts w:ascii="Arial" w:hAnsi="Arial" w:cs="Arial"/>
        </w:rPr>
        <w:t xml:space="preserve"> versa will be transferred as will children transferring from an Infant to a junior </w:t>
      </w:r>
      <w:r w:rsidR="00A26961">
        <w:rPr>
          <w:rFonts w:ascii="Arial" w:hAnsi="Arial" w:cs="Arial"/>
        </w:rPr>
        <w:t>school. Young People leaving custody will also be transferred to the new system.</w:t>
      </w:r>
      <w:r>
        <w:rPr>
          <w:rFonts w:ascii="Arial" w:hAnsi="Arial" w:cs="Arial"/>
        </w:rPr>
        <w:t xml:space="preserve"> As with year one the LA will also consider individual requests to transfer statement on their personal merits and will do so if it is possible within </w:t>
      </w:r>
      <w:r w:rsidR="00A26961">
        <w:rPr>
          <w:rFonts w:ascii="Arial" w:hAnsi="Arial" w:cs="Arial"/>
        </w:rPr>
        <w:t xml:space="preserve">the resources available and in </w:t>
      </w:r>
      <w:r>
        <w:rPr>
          <w:rFonts w:ascii="Arial" w:hAnsi="Arial" w:cs="Arial"/>
        </w:rPr>
        <w:t>th</w:t>
      </w:r>
      <w:r w:rsidR="00A26961">
        <w:rPr>
          <w:rFonts w:ascii="Arial" w:hAnsi="Arial" w:cs="Arial"/>
        </w:rPr>
        <w:t>e</w:t>
      </w:r>
      <w:r>
        <w:rPr>
          <w:rFonts w:ascii="Arial" w:hAnsi="Arial" w:cs="Arial"/>
        </w:rPr>
        <w:t xml:space="preserve"> best interests of the child/family.</w:t>
      </w:r>
    </w:p>
    <w:p w:rsidR="008A137F" w:rsidRDefault="008A137F" w:rsidP="00462B15">
      <w:pPr>
        <w:ind w:right="-514"/>
        <w:jc w:val="both"/>
        <w:rPr>
          <w:rFonts w:ascii="Arial" w:hAnsi="Arial" w:cs="Arial"/>
        </w:rPr>
      </w:pPr>
    </w:p>
    <w:p w:rsidR="000E4ADB" w:rsidRDefault="008A137F" w:rsidP="00462B15">
      <w:pPr>
        <w:ind w:right="-514"/>
        <w:jc w:val="both"/>
        <w:rPr>
          <w:rFonts w:ascii="Arial" w:hAnsi="Arial" w:cs="Arial"/>
        </w:rPr>
      </w:pPr>
      <w:r>
        <w:rPr>
          <w:rFonts w:ascii="Arial" w:hAnsi="Arial" w:cs="Arial"/>
        </w:rPr>
        <w:t xml:space="preserve">This plan will be regularly reviewed, starting in January 2016, as the planned numbers are dependent on the capacity of the EHCP Co-ordinators and the professionals providing advices. </w:t>
      </w:r>
    </w:p>
    <w:p w:rsidR="000E4ADB" w:rsidRDefault="000E4ADB" w:rsidP="00462B15">
      <w:pPr>
        <w:ind w:right="-514"/>
        <w:jc w:val="both"/>
        <w:rPr>
          <w:rFonts w:ascii="Arial" w:hAnsi="Arial" w:cs="Arial"/>
        </w:rPr>
      </w:pPr>
    </w:p>
    <w:p w:rsidR="000E4ADB" w:rsidRDefault="000E4ADB" w:rsidP="00462B15">
      <w:pPr>
        <w:ind w:right="-514"/>
        <w:jc w:val="both"/>
        <w:rPr>
          <w:rFonts w:ascii="Arial" w:hAnsi="Arial" w:cs="Arial"/>
        </w:rPr>
      </w:pPr>
      <w:r>
        <w:rPr>
          <w:rFonts w:ascii="Arial" w:hAnsi="Arial" w:cs="Arial"/>
        </w:rPr>
        <w:t>For those children/young people attending Out of Borough Provision a different approach other than by year group is being considered, this may mean in provision where Wirral have placed more than one child or young person, transfers for all the children at the establishment may be done together.</w:t>
      </w:r>
    </w:p>
    <w:p w:rsidR="000E4ADB" w:rsidRDefault="000E4ADB" w:rsidP="00462B15">
      <w:pPr>
        <w:ind w:right="-514"/>
        <w:jc w:val="both"/>
        <w:rPr>
          <w:rFonts w:ascii="Arial" w:hAnsi="Arial" w:cs="Arial"/>
        </w:rPr>
      </w:pPr>
    </w:p>
    <w:p w:rsidR="000E4ADB" w:rsidRPr="000E4ADB" w:rsidRDefault="00065ED6" w:rsidP="00462B15">
      <w:pPr>
        <w:ind w:right="-514"/>
        <w:jc w:val="both"/>
        <w:rPr>
          <w:rFonts w:ascii="Arial" w:hAnsi="Arial" w:cs="Arial"/>
        </w:rPr>
      </w:pPr>
      <w:r>
        <w:rPr>
          <w:rFonts w:ascii="Arial" w:hAnsi="Arial" w:cs="Arial"/>
        </w:rPr>
        <w:t>This</w:t>
      </w:r>
      <w:r w:rsidR="008A137F">
        <w:rPr>
          <w:rFonts w:ascii="Arial" w:hAnsi="Arial" w:cs="Arial"/>
        </w:rPr>
        <w:t xml:space="preserve"> has been drafted in consultation with schools, providers and the SEND Partnership who provide independent advice and support. </w:t>
      </w:r>
    </w:p>
    <w:p w:rsidR="004E649D" w:rsidRDefault="004E649D" w:rsidP="00462B15">
      <w:pPr>
        <w:ind w:right="-514"/>
        <w:jc w:val="both"/>
        <w:rPr>
          <w:rFonts w:ascii="Arial" w:hAnsi="Arial" w:cs="Arial"/>
        </w:rPr>
      </w:pPr>
    </w:p>
    <w:p w:rsidR="00C11745" w:rsidRPr="00065ED6" w:rsidRDefault="008A137F" w:rsidP="00816229">
      <w:pPr>
        <w:ind w:right="-514"/>
        <w:jc w:val="both"/>
        <w:rPr>
          <w:rFonts w:ascii="Arial" w:hAnsi="Arial" w:cs="Arial"/>
        </w:rPr>
      </w:pPr>
      <w:r>
        <w:rPr>
          <w:rFonts w:ascii="Arial" w:hAnsi="Arial" w:cs="Arial"/>
        </w:rPr>
        <w:t xml:space="preserve">If you require any further information about </w:t>
      </w:r>
      <w:r w:rsidR="00065ED6">
        <w:rPr>
          <w:rFonts w:ascii="Arial" w:hAnsi="Arial" w:cs="Arial"/>
        </w:rPr>
        <w:t>the proposed arrangements</w:t>
      </w:r>
      <w:r>
        <w:rPr>
          <w:rFonts w:ascii="Arial" w:hAnsi="Arial" w:cs="Arial"/>
        </w:rPr>
        <w:t xml:space="preserve"> the </w:t>
      </w:r>
      <w:r w:rsidR="00065ED6">
        <w:rPr>
          <w:rFonts w:ascii="Arial" w:hAnsi="Arial" w:cs="Arial"/>
        </w:rPr>
        <w:t>SEN</w:t>
      </w:r>
      <w:r>
        <w:rPr>
          <w:rFonts w:ascii="Arial" w:hAnsi="Arial" w:cs="Arial"/>
        </w:rPr>
        <w:t xml:space="preserve"> team can be contacted </w:t>
      </w:r>
      <w:r w:rsidR="00065ED6">
        <w:rPr>
          <w:rFonts w:ascii="Arial" w:hAnsi="Arial" w:cs="Arial"/>
        </w:rPr>
        <w:t>on telephone number 0151 666 4224</w:t>
      </w:r>
      <w:r>
        <w:rPr>
          <w:rFonts w:ascii="Arial" w:hAnsi="Arial" w:cs="Arial"/>
        </w:rPr>
        <w:t xml:space="preserve"> </w:t>
      </w:r>
    </w:p>
    <w:sectPr w:rsidR="00C11745" w:rsidRPr="00065ED6" w:rsidSect="00065ED6">
      <w:pgSz w:w="11906" w:h="16838"/>
      <w:pgMar w:top="709"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52"/>
    <w:multiLevelType w:val="hybridMultilevel"/>
    <w:tmpl w:val="5E3A3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46CDA"/>
    <w:multiLevelType w:val="hybridMultilevel"/>
    <w:tmpl w:val="8244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36026"/>
    <w:multiLevelType w:val="hybridMultilevel"/>
    <w:tmpl w:val="98A0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6124D"/>
    <w:multiLevelType w:val="multilevel"/>
    <w:tmpl w:val="985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680ED7"/>
    <w:multiLevelType w:val="hybridMultilevel"/>
    <w:tmpl w:val="26FE6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4B614B"/>
    <w:multiLevelType w:val="hybridMultilevel"/>
    <w:tmpl w:val="7D8CD7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25434187"/>
    <w:multiLevelType w:val="hybridMultilevel"/>
    <w:tmpl w:val="14288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2715F"/>
    <w:multiLevelType w:val="hybridMultilevel"/>
    <w:tmpl w:val="1D78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B31E0"/>
    <w:multiLevelType w:val="hybridMultilevel"/>
    <w:tmpl w:val="5D6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174DB"/>
    <w:multiLevelType w:val="hybridMultilevel"/>
    <w:tmpl w:val="84206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E9251F"/>
    <w:multiLevelType w:val="hybridMultilevel"/>
    <w:tmpl w:val="9E22E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3562E"/>
    <w:multiLevelType w:val="hybridMultilevel"/>
    <w:tmpl w:val="D498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40EE7"/>
    <w:multiLevelType w:val="hybridMultilevel"/>
    <w:tmpl w:val="DA7AFB52"/>
    <w:lvl w:ilvl="0" w:tplc="04090001">
      <w:start w:val="1"/>
      <w:numFmt w:val="bullet"/>
      <w:lvlText w:val=""/>
      <w:lvlJc w:val="left"/>
      <w:pPr>
        <w:tabs>
          <w:tab w:val="num" w:pos="468"/>
        </w:tabs>
        <w:ind w:left="468" w:hanging="360"/>
      </w:pPr>
      <w:rPr>
        <w:rFonts w:ascii="Symbol" w:hAnsi="Symbol" w:hint="default"/>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3">
    <w:nsid w:val="37086C3F"/>
    <w:multiLevelType w:val="hybridMultilevel"/>
    <w:tmpl w:val="E5D0E248"/>
    <w:lvl w:ilvl="0" w:tplc="6FEC529C">
      <w:start w:val="1"/>
      <w:numFmt w:val="bullet"/>
      <w:lvlText w:val=""/>
      <w:lvlJc w:val="left"/>
      <w:pPr>
        <w:tabs>
          <w:tab w:val="num" w:pos="57"/>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105D2B"/>
    <w:multiLevelType w:val="hybridMultilevel"/>
    <w:tmpl w:val="2F4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53B6F"/>
    <w:multiLevelType w:val="hybridMultilevel"/>
    <w:tmpl w:val="8E5622DA"/>
    <w:lvl w:ilvl="0" w:tplc="6FEC529C">
      <w:start w:val="1"/>
      <w:numFmt w:val="bullet"/>
      <w:lvlText w:val=""/>
      <w:lvlJc w:val="left"/>
      <w:pPr>
        <w:tabs>
          <w:tab w:val="num" w:pos="108"/>
        </w:tabs>
        <w:ind w:left="108" w:hanging="57"/>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16">
    <w:nsid w:val="6B835272"/>
    <w:multiLevelType w:val="hybridMultilevel"/>
    <w:tmpl w:val="50A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FF1A7A"/>
    <w:multiLevelType w:val="multilevel"/>
    <w:tmpl w:val="C1BA6D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7"/>
  </w:num>
  <w:num w:numId="2">
    <w:abstractNumId w:val="3"/>
  </w:num>
  <w:num w:numId="3">
    <w:abstractNumId w:val="13"/>
  </w:num>
  <w:num w:numId="4">
    <w:abstractNumId w:val="15"/>
  </w:num>
  <w:num w:numId="5">
    <w:abstractNumId w:val="6"/>
  </w:num>
  <w:num w:numId="6">
    <w:abstractNumId w:val="12"/>
  </w:num>
  <w:num w:numId="7">
    <w:abstractNumId w:val="9"/>
  </w:num>
  <w:num w:numId="8">
    <w:abstractNumId w:val="1"/>
  </w:num>
  <w:num w:numId="9">
    <w:abstractNumId w:val="7"/>
  </w:num>
  <w:num w:numId="10">
    <w:abstractNumId w:val="10"/>
  </w:num>
  <w:num w:numId="11">
    <w:abstractNumId w:val="5"/>
  </w:num>
  <w:num w:numId="12">
    <w:abstractNumId w:val="16"/>
  </w:num>
  <w:num w:numId="13">
    <w:abstractNumId w:val="14"/>
  </w:num>
  <w:num w:numId="14">
    <w:abstractNumId w:val="2"/>
  </w:num>
  <w:num w:numId="15">
    <w:abstractNumId w:val="0"/>
  </w:num>
  <w:num w:numId="16">
    <w:abstractNumId w:val="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45"/>
    <w:rsid w:val="000500D6"/>
    <w:rsid w:val="00052441"/>
    <w:rsid w:val="0005291F"/>
    <w:rsid w:val="000576EE"/>
    <w:rsid w:val="00065ED6"/>
    <w:rsid w:val="000E1AED"/>
    <w:rsid w:val="000E4ADB"/>
    <w:rsid w:val="000F76BE"/>
    <w:rsid w:val="00101316"/>
    <w:rsid w:val="00155FED"/>
    <w:rsid w:val="001A06EE"/>
    <w:rsid w:val="001B51F2"/>
    <w:rsid w:val="0020142D"/>
    <w:rsid w:val="00224199"/>
    <w:rsid w:val="002760EB"/>
    <w:rsid w:val="00284BC4"/>
    <w:rsid w:val="002A1797"/>
    <w:rsid w:val="002D035C"/>
    <w:rsid w:val="002F6919"/>
    <w:rsid w:val="00327E5D"/>
    <w:rsid w:val="003731AE"/>
    <w:rsid w:val="00397403"/>
    <w:rsid w:val="003A1494"/>
    <w:rsid w:val="003F1796"/>
    <w:rsid w:val="00407CA5"/>
    <w:rsid w:val="004268C1"/>
    <w:rsid w:val="00426ECB"/>
    <w:rsid w:val="004369E6"/>
    <w:rsid w:val="00445DE3"/>
    <w:rsid w:val="00462B15"/>
    <w:rsid w:val="00471118"/>
    <w:rsid w:val="0047792F"/>
    <w:rsid w:val="00492128"/>
    <w:rsid w:val="004B000F"/>
    <w:rsid w:val="004D7636"/>
    <w:rsid w:val="004E649D"/>
    <w:rsid w:val="00594405"/>
    <w:rsid w:val="005C65BB"/>
    <w:rsid w:val="005F4DE4"/>
    <w:rsid w:val="00612FFF"/>
    <w:rsid w:val="006202D6"/>
    <w:rsid w:val="00645FD7"/>
    <w:rsid w:val="0065408D"/>
    <w:rsid w:val="00671C8A"/>
    <w:rsid w:val="006A0C14"/>
    <w:rsid w:val="006C2A04"/>
    <w:rsid w:val="006E0033"/>
    <w:rsid w:val="00701313"/>
    <w:rsid w:val="00713D00"/>
    <w:rsid w:val="00744DB4"/>
    <w:rsid w:val="00767FA1"/>
    <w:rsid w:val="007E0115"/>
    <w:rsid w:val="007E497C"/>
    <w:rsid w:val="0081602C"/>
    <w:rsid w:val="00816229"/>
    <w:rsid w:val="00835E2B"/>
    <w:rsid w:val="00843BF8"/>
    <w:rsid w:val="00861D94"/>
    <w:rsid w:val="008631A2"/>
    <w:rsid w:val="008738E3"/>
    <w:rsid w:val="00880F0A"/>
    <w:rsid w:val="0088432E"/>
    <w:rsid w:val="008910FE"/>
    <w:rsid w:val="008A137F"/>
    <w:rsid w:val="008C717C"/>
    <w:rsid w:val="0093620F"/>
    <w:rsid w:val="00954B42"/>
    <w:rsid w:val="00971DBF"/>
    <w:rsid w:val="00971E9E"/>
    <w:rsid w:val="009D1B46"/>
    <w:rsid w:val="009E0479"/>
    <w:rsid w:val="00A2033A"/>
    <w:rsid w:val="00A26961"/>
    <w:rsid w:val="00A53DB8"/>
    <w:rsid w:val="00A8007A"/>
    <w:rsid w:val="00A8785D"/>
    <w:rsid w:val="00A9450B"/>
    <w:rsid w:val="00AA3987"/>
    <w:rsid w:val="00AC460C"/>
    <w:rsid w:val="00AF56BB"/>
    <w:rsid w:val="00B64E56"/>
    <w:rsid w:val="00B76501"/>
    <w:rsid w:val="00B82F7B"/>
    <w:rsid w:val="00B85A95"/>
    <w:rsid w:val="00B86020"/>
    <w:rsid w:val="00BB62D1"/>
    <w:rsid w:val="00BC6715"/>
    <w:rsid w:val="00C11745"/>
    <w:rsid w:val="00C37FFA"/>
    <w:rsid w:val="00C80360"/>
    <w:rsid w:val="00C9537D"/>
    <w:rsid w:val="00CA5EDF"/>
    <w:rsid w:val="00CC6E4D"/>
    <w:rsid w:val="00CF7378"/>
    <w:rsid w:val="00D325D4"/>
    <w:rsid w:val="00D5157B"/>
    <w:rsid w:val="00D57365"/>
    <w:rsid w:val="00DA1534"/>
    <w:rsid w:val="00DB2C65"/>
    <w:rsid w:val="00E1060B"/>
    <w:rsid w:val="00E37F9C"/>
    <w:rsid w:val="00E437B1"/>
    <w:rsid w:val="00E451FE"/>
    <w:rsid w:val="00E53913"/>
    <w:rsid w:val="00E5421A"/>
    <w:rsid w:val="00E63C53"/>
    <w:rsid w:val="00E642A3"/>
    <w:rsid w:val="00EB1F07"/>
    <w:rsid w:val="00EE3428"/>
    <w:rsid w:val="00EE782F"/>
    <w:rsid w:val="00EF133E"/>
    <w:rsid w:val="00F33EDE"/>
    <w:rsid w:val="00F71911"/>
    <w:rsid w:val="00F763C0"/>
    <w:rsid w:val="00FB2DC5"/>
    <w:rsid w:val="00FC543B"/>
    <w:rsid w:val="00FD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DE3"/>
    <w:pPr>
      <w:ind w:left="720"/>
    </w:pPr>
  </w:style>
  <w:style w:type="paragraph" w:styleId="BalloonText">
    <w:name w:val="Balloon Text"/>
    <w:basedOn w:val="Normal"/>
    <w:link w:val="BalloonTextChar"/>
    <w:rsid w:val="00BB62D1"/>
    <w:rPr>
      <w:rFonts w:ascii="Tahoma" w:hAnsi="Tahoma" w:cs="Tahoma"/>
      <w:sz w:val="16"/>
      <w:szCs w:val="16"/>
    </w:rPr>
  </w:style>
  <w:style w:type="character" w:customStyle="1" w:styleId="BalloonTextChar">
    <w:name w:val="Balloon Text Char"/>
    <w:link w:val="BalloonText"/>
    <w:rsid w:val="00BB62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DE3"/>
    <w:pPr>
      <w:ind w:left="720"/>
    </w:pPr>
  </w:style>
  <w:style w:type="paragraph" w:styleId="BalloonText">
    <w:name w:val="Balloon Text"/>
    <w:basedOn w:val="Normal"/>
    <w:link w:val="BalloonTextChar"/>
    <w:rsid w:val="00BB62D1"/>
    <w:rPr>
      <w:rFonts w:ascii="Tahoma" w:hAnsi="Tahoma" w:cs="Tahoma"/>
      <w:sz w:val="16"/>
      <w:szCs w:val="16"/>
    </w:rPr>
  </w:style>
  <w:style w:type="character" w:customStyle="1" w:styleId="BalloonTextChar">
    <w:name w:val="Balloon Text Char"/>
    <w:link w:val="BalloonText"/>
    <w:rsid w:val="00BB62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2057">
      <w:bodyDiv w:val="1"/>
      <w:marLeft w:val="0"/>
      <w:marRight w:val="0"/>
      <w:marTop w:val="0"/>
      <w:marBottom w:val="0"/>
      <w:divBdr>
        <w:top w:val="none" w:sz="0" w:space="0" w:color="auto"/>
        <w:left w:val="none" w:sz="0" w:space="0" w:color="auto"/>
        <w:bottom w:val="none" w:sz="0" w:space="0" w:color="auto"/>
        <w:right w:val="none" w:sz="0" w:space="0" w:color="auto"/>
      </w:divBdr>
    </w:div>
    <w:div w:id="1145659907">
      <w:bodyDiv w:val="1"/>
      <w:marLeft w:val="0"/>
      <w:marRight w:val="0"/>
      <w:marTop w:val="0"/>
      <w:marBottom w:val="0"/>
      <w:divBdr>
        <w:top w:val="none" w:sz="0" w:space="0" w:color="auto"/>
        <w:left w:val="none" w:sz="0" w:space="0" w:color="auto"/>
        <w:bottom w:val="none" w:sz="0" w:space="0" w:color="auto"/>
        <w:right w:val="none" w:sz="0" w:space="0" w:color="auto"/>
      </w:divBdr>
    </w:div>
    <w:div w:id="15786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9183-3C67-4F50-8D00-B941FBB2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middlehurstma</dc:creator>
  <cp:lastModifiedBy>Hudson, Julie M.</cp:lastModifiedBy>
  <cp:revision>2</cp:revision>
  <cp:lastPrinted>2015-07-15T13:39:00Z</cp:lastPrinted>
  <dcterms:created xsi:type="dcterms:W3CDTF">2015-11-12T12:24:00Z</dcterms:created>
  <dcterms:modified xsi:type="dcterms:W3CDTF">2015-11-12T12:24:00Z</dcterms:modified>
</cp:coreProperties>
</file>